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72FC" w:rsidRPr="00425E48" w:rsidRDefault="003E64B4"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A72FC" w:rsidRPr="00425E48">
        <w:rPr>
          <w:rFonts w:asciiTheme="minorHAnsi" w:hAnsiTheme="minorHAnsi" w:cs="Arial"/>
          <w:b/>
        </w:rPr>
        <w:t>AMB 2018</w:t>
      </w:r>
      <w:r w:rsidR="000837D8">
        <w:rPr>
          <w:rFonts w:asciiTheme="minorHAnsi" w:hAnsiTheme="minorHAnsi" w:cs="Arial"/>
          <w:b/>
        </w:rPr>
        <w:t xml:space="preserve"> / Intec 2019</w:t>
      </w:r>
    </w:p>
    <w:p w:rsidR="007A72FC" w:rsidRPr="00425E48" w:rsidRDefault="007A72FC" w:rsidP="00F46FB3">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bookmarkStart w:id="0" w:name="_GoBack"/>
      <w:bookmarkEnd w:id="0"/>
    </w:p>
    <w:p w:rsidR="007A72FC" w:rsidRDefault="007A72FC" w:rsidP="00925DB2">
      <w:pPr>
        <w:autoSpaceDE w:val="0"/>
        <w:autoSpaceDN w:val="0"/>
        <w:adjustRightInd w:val="0"/>
        <w:spacing w:after="0" w:line="360" w:lineRule="auto"/>
        <w:rPr>
          <w:rFonts w:ascii="Arial" w:hAnsi="Arial" w:cs="Arial"/>
        </w:rPr>
      </w:pPr>
    </w:p>
    <w:p w:rsidR="007A72FC" w:rsidRDefault="007A72FC" w:rsidP="00925DB2">
      <w:pPr>
        <w:autoSpaceDE w:val="0"/>
        <w:autoSpaceDN w:val="0"/>
        <w:adjustRightInd w:val="0"/>
        <w:spacing w:after="0" w:line="360" w:lineRule="auto"/>
        <w:rPr>
          <w:rFonts w:ascii="Arial" w:hAnsi="Arial" w:cs="Arial"/>
        </w:rPr>
      </w:pPr>
    </w:p>
    <w:p w:rsidR="003E64B4" w:rsidRPr="003E64B4" w:rsidRDefault="003E64B4" w:rsidP="003E64B4">
      <w:pPr>
        <w:widowControl w:val="0"/>
        <w:autoSpaceDE w:val="0"/>
        <w:autoSpaceDN w:val="0"/>
        <w:adjustRightInd w:val="0"/>
        <w:spacing w:after="0" w:line="240" w:lineRule="auto"/>
        <w:rPr>
          <w:rFonts w:asciiTheme="minorHAnsi" w:hAnsiTheme="minorHAnsi" w:cs="Helvetica-Light"/>
          <w:b/>
          <w:sz w:val="24"/>
          <w:szCs w:val="24"/>
        </w:rPr>
      </w:pPr>
      <w:r w:rsidRPr="003E64B4">
        <w:rPr>
          <w:rFonts w:asciiTheme="minorHAnsi" w:hAnsiTheme="minorHAnsi" w:cs="Helvetica-Light"/>
          <w:b/>
          <w:sz w:val="24"/>
          <w:szCs w:val="24"/>
        </w:rPr>
        <w:t>Polygondrehen für rundlaufende Serienprozesse</w:t>
      </w:r>
    </w:p>
    <w:p w:rsidR="003E64B4" w:rsidRPr="003E64B4" w:rsidRDefault="003E64B4" w:rsidP="003E64B4">
      <w:pPr>
        <w:widowControl w:val="0"/>
        <w:autoSpaceDE w:val="0"/>
        <w:autoSpaceDN w:val="0"/>
        <w:adjustRightInd w:val="0"/>
        <w:spacing w:after="0" w:line="240" w:lineRule="auto"/>
        <w:rPr>
          <w:rFonts w:asciiTheme="minorHAnsi" w:hAnsiTheme="minorHAnsi" w:cs="Helvetica-Light"/>
          <w:b/>
          <w:sz w:val="24"/>
          <w:szCs w:val="24"/>
        </w:rPr>
      </w:pPr>
    </w:p>
    <w:p w:rsidR="003E64B4" w:rsidRPr="003E64B4" w:rsidRDefault="003E64B4" w:rsidP="003E64B4">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Die Paul Horn GmbH</w:t>
      </w:r>
      <w:r w:rsidRPr="003E64B4">
        <w:rPr>
          <w:rFonts w:asciiTheme="minorHAnsi" w:hAnsiTheme="minorHAnsi" w:cs="Helvetica-Light"/>
        </w:rPr>
        <w:t xml:space="preserve"> präsentiert ein Verfahren zum Herstellen von unrunden Konturen. Mittels axialem Vorschub bieten die Werkzeuge die Möglichkeit, regelmäßig unrunde Konturen auf Drehmaschinen herzustellen. Dieses Verfahren erleichtert beispielsweise die Herstellung von Polygonformen. Im Einsatz stehen die Achsen des Werkstücks und des Werkzeugs zueinander versetzt und sind in ein bestimmtes Drehzahlverhältnis gebracht. Die Werkzeuge eignen sich sowohl für die Außenbearbeitung als auch für die Innenbearbeitung. Der Achsversatz, das Drehzahlverhältnis von Werkstück zu Werkzeug und der Flugkreis der Schneide definieren die Abmessung der Kontur. Ein Werkzeugsystem zum Polygondrehen ist individuell auf die jeweils herzustellende Kontur des Werkstücks abgestimmt.</w:t>
      </w:r>
    </w:p>
    <w:p w:rsidR="003E64B4" w:rsidRPr="003E64B4" w:rsidRDefault="003E64B4" w:rsidP="003E64B4">
      <w:pPr>
        <w:widowControl w:val="0"/>
        <w:autoSpaceDE w:val="0"/>
        <w:autoSpaceDN w:val="0"/>
        <w:adjustRightInd w:val="0"/>
        <w:spacing w:after="0" w:line="240" w:lineRule="auto"/>
        <w:jc w:val="both"/>
        <w:rPr>
          <w:rFonts w:asciiTheme="minorHAnsi" w:hAnsiTheme="minorHAnsi" w:cs="Helvetica-Light"/>
        </w:rPr>
      </w:pPr>
    </w:p>
    <w:p w:rsidR="003E64B4" w:rsidRPr="003E64B4" w:rsidRDefault="003E64B4" w:rsidP="003E64B4">
      <w:pPr>
        <w:widowControl w:val="0"/>
        <w:autoSpaceDE w:val="0"/>
        <w:autoSpaceDN w:val="0"/>
        <w:adjustRightInd w:val="0"/>
        <w:spacing w:after="0" w:line="240" w:lineRule="auto"/>
        <w:jc w:val="both"/>
        <w:rPr>
          <w:rFonts w:asciiTheme="minorHAnsi" w:hAnsiTheme="minorHAnsi" w:cs="Helvetica-Light"/>
        </w:rPr>
      </w:pPr>
      <w:r w:rsidRPr="003E64B4">
        <w:rPr>
          <w:rFonts w:asciiTheme="minorHAnsi" w:hAnsiTheme="minorHAnsi" w:cs="Helvetica-Light"/>
        </w:rPr>
        <w:t>Das Verfahren ist gut für Serienprozesse geeignet, da während der Bearbeitung keine ruckartigen Bewegungen oder Bewegungsumkehrungen auftreten. Dafür können verstellbare Feinbohrköpfe zum Einsatz kommen. Für einen sicheren Prozess ist ein Masseausgleich und die Feinverstellung der Schneide jedoch vorausgesetzt. H</w:t>
      </w:r>
      <w:r>
        <w:rPr>
          <w:rFonts w:asciiTheme="minorHAnsi" w:hAnsiTheme="minorHAnsi" w:cs="Helvetica-Light"/>
        </w:rPr>
        <w:t>orn</w:t>
      </w:r>
      <w:r w:rsidRPr="003E64B4">
        <w:rPr>
          <w:rFonts w:asciiTheme="minorHAnsi" w:hAnsiTheme="minorHAnsi" w:cs="Helvetica-Light"/>
        </w:rPr>
        <w:t xml:space="preserve"> reagiert mit dem Werkzeugsystem für das Verfahren des Polygondrehens </w:t>
      </w:r>
      <w:r w:rsidR="005C0754">
        <w:rPr>
          <w:rFonts w:asciiTheme="minorHAnsi" w:hAnsiTheme="minorHAnsi" w:cs="Helvetica-Light"/>
        </w:rPr>
        <w:t>a</w:t>
      </w:r>
      <w:r w:rsidRPr="003E64B4">
        <w:rPr>
          <w:rFonts w:asciiTheme="minorHAnsi" w:hAnsiTheme="minorHAnsi" w:cs="Helvetica-Light"/>
        </w:rPr>
        <w:t>uf Anfragen von Kunden, welche Steckverzahnungen, Polygone und andere Formen kostengünstig herstellen wollen. Für das Polygondrehen für Innenkonturen setzt H</w:t>
      </w:r>
      <w:r>
        <w:rPr>
          <w:rFonts w:asciiTheme="minorHAnsi" w:hAnsiTheme="minorHAnsi" w:cs="Helvetica-Light"/>
        </w:rPr>
        <w:t>orn</w:t>
      </w:r>
      <w:r w:rsidRPr="003E64B4">
        <w:rPr>
          <w:rFonts w:asciiTheme="minorHAnsi" w:hAnsiTheme="minorHAnsi" w:cs="Helvetica-Light"/>
        </w:rPr>
        <w:t xml:space="preserve"> auf die Werkzeugsysteme Supermini und Mini. Für Außenkonturen eignet sich die zweischneidige Wendeschneidplatte 274 oder ISO Werkzeuge.</w:t>
      </w:r>
    </w:p>
    <w:p w:rsidR="007A72FC" w:rsidRDefault="007A72FC" w:rsidP="003E64B4">
      <w:pPr>
        <w:autoSpaceDE w:val="0"/>
        <w:autoSpaceDN w:val="0"/>
        <w:adjustRightInd w:val="0"/>
        <w:spacing w:after="0" w:line="360" w:lineRule="auto"/>
        <w:jc w:val="both"/>
        <w:rPr>
          <w:rFonts w:ascii="Arial" w:hAnsi="Arial" w:cs="Arial"/>
        </w:rPr>
      </w:pPr>
    </w:p>
    <w:p w:rsidR="00F15E1F" w:rsidRPr="00425E48" w:rsidRDefault="00F15E1F" w:rsidP="00925DB2">
      <w:pPr>
        <w:autoSpaceDE w:val="0"/>
        <w:autoSpaceDN w:val="0"/>
        <w:adjustRightInd w:val="0"/>
        <w:spacing w:after="0" w:line="360" w:lineRule="auto"/>
        <w:rPr>
          <w:rFonts w:asciiTheme="minorHAnsi" w:hAnsiTheme="minorHAnsi" w:cs="Arial"/>
          <w:i/>
        </w:rPr>
      </w:pPr>
    </w:p>
    <w:p w:rsidR="00DC36B0" w:rsidRPr="00425E48" w:rsidRDefault="003E64B4" w:rsidP="00925DB2">
      <w:pPr>
        <w:autoSpaceDE w:val="0"/>
        <w:autoSpaceDN w:val="0"/>
        <w:adjustRightInd w:val="0"/>
        <w:spacing w:after="0" w:line="360" w:lineRule="auto"/>
        <w:rPr>
          <w:rFonts w:asciiTheme="minorHAnsi" w:hAnsiTheme="minorHAnsi" w:cs="Arial"/>
          <w:i/>
        </w:rPr>
      </w:pPr>
      <w:r>
        <w:rPr>
          <w:rFonts w:asciiTheme="minorHAnsi" w:hAnsiTheme="minorHAnsi" w:cs="Arial"/>
          <w:i/>
        </w:rPr>
        <w:t>1.4</w:t>
      </w:r>
      <w:r w:rsidR="00214307">
        <w:rPr>
          <w:rFonts w:asciiTheme="minorHAnsi" w:hAnsiTheme="minorHAnsi" w:cs="Arial"/>
          <w:i/>
        </w:rPr>
        <w:t xml:space="preserve">52 </w:t>
      </w:r>
      <w:r w:rsidR="008A1283" w:rsidRPr="00425E48">
        <w:rPr>
          <w:rFonts w:asciiTheme="minorHAnsi" w:hAnsiTheme="minorHAnsi" w:cs="Arial"/>
          <w:i/>
        </w:rPr>
        <w:t xml:space="preserve"> </w:t>
      </w:r>
      <w:r w:rsidR="00925DB2" w:rsidRPr="00425E48">
        <w:rPr>
          <w:rFonts w:asciiTheme="minorHAnsi" w:hAnsiTheme="minorHAnsi" w:cs="Arial"/>
          <w:i/>
        </w:rPr>
        <w:t>Zeich</w:t>
      </w:r>
      <w:r w:rsidR="00F15E1F" w:rsidRPr="00425E48">
        <w:rPr>
          <w:rFonts w:asciiTheme="minorHAnsi" w:hAnsiTheme="minorHAnsi" w:cs="Arial"/>
          <w:i/>
        </w:rPr>
        <w:t>e</w:t>
      </w:r>
      <w:r w:rsidR="00925DB2" w:rsidRPr="00425E48">
        <w:rPr>
          <w:rFonts w:asciiTheme="minorHAnsi" w:hAnsiTheme="minorHAnsi" w:cs="Arial"/>
          <w:i/>
        </w:rPr>
        <w:t>n inkl. Leerzeichen</w:t>
      </w:r>
    </w:p>
    <w:p w:rsidR="007A72FC" w:rsidRPr="00425E48" w:rsidRDefault="007A72FC" w:rsidP="00925DB2">
      <w:pPr>
        <w:autoSpaceDE w:val="0"/>
        <w:autoSpaceDN w:val="0"/>
        <w:adjustRightInd w:val="0"/>
        <w:spacing w:after="0" w:line="360" w:lineRule="auto"/>
        <w:rPr>
          <w:rFonts w:asciiTheme="minorHAnsi" w:hAnsiTheme="minorHAnsi" w:cs="Arial"/>
          <w:b/>
        </w:rPr>
      </w:pPr>
    </w:p>
    <w:p w:rsidR="007A72FC" w:rsidRPr="00425E48" w:rsidRDefault="007A72FC" w:rsidP="00925DB2">
      <w:pPr>
        <w:autoSpaceDE w:val="0"/>
        <w:autoSpaceDN w:val="0"/>
        <w:adjustRightInd w:val="0"/>
        <w:spacing w:after="0" w:line="360" w:lineRule="auto"/>
        <w:rPr>
          <w:rFonts w:asciiTheme="minorHAnsi" w:hAnsiTheme="minorHAnsi" w:cs="Arial"/>
          <w:b/>
        </w:rPr>
      </w:pPr>
    </w:p>
    <w:p w:rsidR="00FB21CF" w:rsidRPr="00425E48" w:rsidRDefault="00AA51BC" w:rsidP="00925DB2">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Bildlegende:</w:t>
      </w:r>
    </w:p>
    <w:p w:rsidR="00A104B3" w:rsidRDefault="00A104B3" w:rsidP="00925DB2">
      <w:pPr>
        <w:autoSpaceDE w:val="0"/>
        <w:autoSpaceDN w:val="0"/>
        <w:adjustRightInd w:val="0"/>
        <w:spacing w:after="0" w:line="360" w:lineRule="auto"/>
        <w:rPr>
          <w:rFonts w:asciiTheme="minorHAnsi" w:hAnsiTheme="minorHAnsi" w:cs="Arial"/>
          <w:b/>
        </w:rPr>
      </w:pPr>
    </w:p>
    <w:p w:rsidR="00551944" w:rsidRPr="00425E48" w:rsidRDefault="00551944" w:rsidP="00925DB2">
      <w:pPr>
        <w:autoSpaceDE w:val="0"/>
        <w:autoSpaceDN w:val="0"/>
        <w:adjustRightInd w:val="0"/>
        <w:spacing w:after="0" w:line="360" w:lineRule="auto"/>
        <w:rPr>
          <w:rFonts w:asciiTheme="minorHAnsi" w:hAnsiTheme="minorHAnsi" w:cs="Arial"/>
          <w:b/>
        </w:rPr>
      </w:pPr>
      <w:r w:rsidRPr="00551944">
        <w:rPr>
          <w:rFonts w:asciiTheme="minorHAnsi" w:hAnsiTheme="minorHAnsi" w:cs="Arial"/>
          <w:b/>
          <w:noProof/>
          <w:lang w:eastAsia="de-DE"/>
        </w:rPr>
        <w:drawing>
          <wp:inline distT="0" distB="0" distL="0" distR="0">
            <wp:extent cx="1870376" cy="1246505"/>
            <wp:effectExtent l="0" t="0" r="0" b="0"/>
            <wp:docPr id="2" name="Grafik 2" descr="C:\Users\cstelzer\Nextcloud\Presseinformationen\AMB2018 PRESSEMAPPE\Polygondrehen\Horn_Polygondre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2018 PRESSEMAPPE\Polygondrehen\Horn_Polygondrehe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4655" cy="1249357"/>
                    </a:xfrm>
                    <a:prstGeom prst="rect">
                      <a:avLst/>
                    </a:prstGeom>
                    <a:noFill/>
                    <a:ln>
                      <a:noFill/>
                    </a:ln>
                  </pic:spPr>
                </pic:pic>
              </a:graphicData>
            </a:graphic>
          </wp:inline>
        </w:drawing>
      </w:r>
      <w:r>
        <w:rPr>
          <w:rFonts w:asciiTheme="minorHAnsi" w:hAnsiTheme="minorHAnsi" w:cs="Arial"/>
          <w:b/>
        </w:rPr>
        <w:tab/>
      </w:r>
      <w:r>
        <w:rPr>
          <w:rFonts w:asciiTheme="minorHAnsi" w:hAnsiTheme="minorHAnsi" w:cs="Arial"/>
          <w:b/>
        </w:rPr>
        <w:tab/>
      </w:r>
      <w:r w:rsidRPr="00551944">
        <w:rPr>
          <w:rFonts w:asciiTheme="minorHAnsi" w:hAnsiTheme="minorHAnsi" w:cs="Arial"/>
          <w:b/>
          <w:noProof/>
          <w:lang w:eastAsia="de-DE"/>
        </w:rPr>
        <w:drawing>
          <wp:inline distT="0" distB="0" distL="0" distR="0">
            <wp:extent cx="1794692" cy="1196746"/>
            <wp:effectExtent l="0" t="0" r="0" b="3810"/>
            <wp:docPr id="3" name="Grafik 3" descr="C:\Users\cstelzer\Nextcloud\Presseinformationen\AMB2018 PRESSEMAPPE\Polygondrehen\Horn_Polygondrehen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2018 PRESSEMAPPE\Polygondrehen\Horn_Polygondrehen_Detai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7340" cy="1198512"/>
                    </a:xfrm>
                    <a:prstGeom prst="rect">
                      <a:avLst/>
                    </a:prstGeom>
                    <a:noFill/>
                    <a:ln>
                      <a:noFill/>
                    </a:ln>
                  </pic:spPr>
                </pic:pic>
              </a:graphicData>
            </a:graphic>
          </wp:inline>
        </w:drawing>
      </w:r>
    </w:p>
    <w:p w:rsidR="003E64B4" w:rsidRPr="003E64B4" w:rsidRDefault="00F737BE" w:rsidP="003E64B4">
      <w:pPr>
        <w:widowControl w:val="0"/>
        <w:autoSpaceDE w:val="0"/>
        <w:autoSpaceDN w:val="0"/>
        <w:adjustRightInd w:val="0"/>
        <w:spacing w:after="0" w:line="240" w:lineRule="auto"/>
        <w:rPr>
          <w:rFonts w:asciiTheme="minorHAnsi" w:hAnsiTheme="minorHAnsi" w:cs="Helvetica-Light"/>
        </w:rPr>
      </w:pPr>
      <w:r w:rsidRPr="00425E48">
        <w:rPr>
          <w:rFonts w:asciiTheme="minorHAnsi" w:hAnsiTheme="minorHAnsi" w:cs="Arial"/>
          <w:b/>
        </w:rPr>
        <w:t>BU</w:t>
      </w:r>
      <w:r w:rsidR="00A104B3" w:rsidRPr="00425E48">
        <w:rPr>
          <w:rFonts w:asciiTheme="minorHAnsi" w:hAnsiTheme="minorHAnsi" w:cs="Arial"/>
          <w:b/>
        </w:rPr>
        <w:t xml:space="preserve">: </w:t>
      </w:r>
      <w:r w:rsidR="003E64B4" w:rsidRPr="003E64B4">
        <w:rPr>
          <w:rFonts w:asciiTheme="minorHAnsi" w:hAnsiTheme="minorHAnsi" w:cs="Helvetica-Light"/>
        </w:rPr>
        <w:t>Das Werkzeugsystem basiert auf das System Mini Typ 114.</w:t>
      </w:r>
    </w:p>
    <w:p w:rsidR="003E64B4" w:rsidRDefault="003E64B4" w:rsidP="003E64B4">
      <w:pPr>
        <w:autoSpaceDE w:val="0"/>
        <w:autoSpaceDN w:val="0"/>
        <w:adjustRightInd w:val="0"/>
        <w:spacing w:after="0" w:line="360" w:lineRule="auto"/>
        <w:rPr>
          <w:rFonts w:ascii="Arial" w:hAnsi="Arial" w:cs="Arial"/>
        </w:rPr>
      </w:pPr>
    </w:p>
    <w:p w:rsidR="00762688" w:rsidRPr="00425E48" w:rsidRDefault="00762688" w:rsidP="00925DB2">
      <w:pPr>
        <w:autoSpaceDE w:val="0"/>
        <w:autoSpaceDN w:val="0"/>
        <w:adjustRightInd w:val="0"/>
        <w:spacing w:after="0" w:line="360" w:lineRule="auto"/>
        <w:rPr>
          <w:rFonts w:asciiTheme="minorHAnsi" w:hAnsiTheme="minorHAnsi" w:cs="Arial"/>
          <w:b/>
        </w:rPr>
      </w:pPr>
    </w:p>
    <w:p w:rsidR="00A104B3" w:rsidRPr="00425E48" w:rsidRDefault="00A104B3" w:rsidP="00925DB2">
      <w:pPr>
        <w:autoSpaceDE w:val="0"/>
        <w:autoSpaceDN w:val="0"/>
        <w:adjustRightInd w:val="0"/>
        <w:spacing w:after="0" w:line="360" w:lineRule="auto"/>
        <w:rPr>
          <w:rFonts w:asciiTheme="minorHAnsi" w:hAnsiTheme="minorHAnsi" w:cs="Arial"/>
          <w:b/>
        </w:rPr>
      </w:pPr>
    </w:p>
    <w:p w:rsidR="00A104B3" w:rsidRPr="00425E48" w:rsidRDefault="00A104B3" w:rsidP="00925DB2">
      <w:pPr>
        <w:autoSpaceDE w:val="0"/>
        <w:autoSpaceDN w:val="0"/>
        <w:adjustRightInd w:val="0"/>
        <w:spacing w:after="0" w:line="360" w:lineRule="auto"/>
        <w:rPr>
          <w:rFonts w:asciiTheme="minorHAnsi" w:hAnsiTheme="minorHAnsi" w:cs="Arial"/>
          <w:b/>
        </w:rPr>
      </w:pPr>
    </w:p>
    <w:p w:rsidR="00567DA8" w:rsidRPr="00425E48" w:rsidRDefault="00567DA8" w:rsidP="00925DB2">
      <w:pPr>
        <w:autoSpaceDE w:val="0"/>
        <w:autoSpaceDN w:val="0"/>
        <w:adjustRightInd w:val="0"/>
        <w:spacing w:after="0" w:line="360" w:lineRule="auto"/>
        <w:rPr>
          <w:rFonts w:asciiTheme="minorHAnsi" w:hAnsiTheme="minorHAnsi" w:cs="Arial"/>
          <w:b/>
        </w:rPr>
      </w:pPr>
    </w:p>
    <w:p w:rsidR="00567DA8" w:rsidRPr="00425E48" w:rsidRDefault="00567DA8" w:rsidP="00925DB2">
      <w:pPr>
        <w:autoSpaceDE w:val="0"/>
        <w:autoSpaceDN w:val="0"/>
        <w:adjustRightInd w:val="0"/>
        <w:spacing w:after="0" w:line="360" w:lineRule="auto"/>
        <w:rPr>
          <w:rFonts w:asciiTheme="minorHAnsi" w:hAnsiTheme="minorHAnsi" w:cs="Arial"/>
          <w:b/>
        </w:rPr>
      </w:pPr>
    </w:p>
    <w:p w:rsidR="005B372D" w:rsidRPr="00425E48" w:rsidRDefault="005B372D" w:rsidP="005B372D">
      <w:pPr>
        <w:autoSpaceDE w:val="0"/>
        <w:autoSpaceDN w:val="0"/>
        <w:adjustRightInd w:val="0"/>
        <w:spacing w:after="0" w:line="360" w:lineRule="auto"/>
        <w:rPr>
          <w:rFonts w:asciiTheme="minorHAnsi" w:hAnsiTheme="minorHAnsi" w:cs="Arial"/>
        </w:rPr>
      </w:pPr>
      <w:r w:rsidRPr="00425E48">
        <w:rPr>
          <w:rFonts w:asciiTheme="minorHAnsi" w:hAnsiTheme="minorHAnsi" w:cs="Arial"/>
          <w:b/>
        </w:rPr>
        <w:t>Bild</w:t>
      </w:r>
      <w:r w:rsidR="00434B0A" w:rsidRPr="00425E48">
        <w:rPr>
          <w:rFonts w:asciiTheme="minorHAnsi" w:hAnsiTheme="minorHAnsi" w:cs="Arial"/>
          <w:b/>
        </w:rPr>
        <w:t xml:space="preserve"> und Text:</w:t>
      </w:r>
      <w:r w:rsidRPr="00425E48">
        <w:rPr>
          <w:rFonts w:asciiTheme="minorHAnsi" w:hAnsiTheme="minorHAnsi" w:cs="Arial"/>
        </w:rPr>
        <w:t xml:space="preserve"> Paul Horn GmbH, Nico Sauermann</w:t>
      </w:r>
    </w:p>
    <w:p w:rsidR="00FB21CF" w:rsidRPr="00425E48" w:rsidRDefault="00FB21CF" w:rsidP="00925DB2">
      <w:pPr>
        <w:autoSpaceDE w:val="0"/>
        <w:autoSpaceDN w:val="0"/>
        <w:adjustRightInd w:val="0"/>
        <w:spacing w:after="0" w:line="360" w:lineRule="auto"/>
        <w:rPr>
          <w:rFonts w:asciiTheme="minorHAnsi" w:hAnsiTheme="minorHAnsi" w:cs="Arial"/>
        </w:rPr>
      </w:pPr>
    </w:p>
    <w:p w:rsidR="00FB21CF" w:rsidRPr="00425E48" w:rsidRDefault="00F737BE"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Z</w:t>
      </w:r>
      <w:r w:rsidR="00FB21CF" w:rsidRPr="00425E48">
        <w:rPr>
          <w:rFonts w:asciiTheme="minorHAnsi" w:hAnsiTheme="minorHAnsi" w:cs="Arial"/>
        </w:rPr>
        <w:t>uständig für Rückfragen:</w:t>
      </w:r>
    </w:p>
    <w:p w:rsidR="00FB21CF" w:rsidRPr="00425E48" w:rsidRDefault="00FB21CF"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Hartmetall-Werkzeugfabrik Paul Horn GmbH,</w:t>
      </w:r>
      <w:r w:rsidR="00434B0A" w:rsidRPr="00425E48">
        <w:rPr>
          <w:rFonts w:asciiTheme="minorHAnsi" w:hAnsiTheme="minorHAnsi" w:cs="Arial"/>
        </w:rPr>
        <w:t xml:space="preserve"> </w:t>
      </w:r>
      <w:r w:rsidRPr="00425E48">
        <w:rPr>
          <w:rFonts w:asciiTheme="minorHAnsi" w:hAnsiTheme="minorHAnsi" w:cs="Arial"/>
        </w:rPr>
        <w:t>Christian Thiele</w:t>
      </w:r>
    </w:p>
    <w:p w:rsidR="00940AAC" w:rsidRPr="00425E48" w:rsidRDefault="00940AAC"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Unter dem Hol</w:t>
      </w:r>
      <w:r w:rsidR="000C3359" w:rsidRPr="00425E48">
        <w:rPr>
          <w:rFonts w:asciiTheme="minorHAnsi" w:hAnsiTheme="minorHAnsi" w:cs="Arial"/>
        </w:rPr>
        <w:t>z</w:t>
      </w:r>
      <w:r w:rsidRPr="00425E48">
        <w:rPr>
          <w:rFonts w:asciiTheme="minorHAnsi" w:hAnsiTheme="minorHAnsi" w:cs="Arial"/>
        </w:rPr>
        <w:t xml:space="preserve"> 33 – 35, 72072 Tübingen</w:t>
      </w:r>
    </w:p>
    <w:p w:rsidR="00940AAC" w:rsidRPr="00425E48" w:rsidRDefault="00940AAC" w:rsidP="00925DB2">
      <w:pPr>
        <w:autoSpaceDE w:val="0"/>
        <w:autoSpaceDN w:val="0"/>
        <w:adjustRightInd w:val="0"/>
        <w:spacing w:after="0" w:line="360" w:lineRule="auto"/>
        <w:rPr>
          <w:rFonts w:asciiTheme="minorHAnsi" w:hAnsiTheme="minorHAnsi" w:cs="Arial"/>
          <w:lang w:val="en-US"/>
        </w:rPr>
      </w:pPr>
      <w:r w:rsidRPr="00425E48">
        <w:rPr>
          <w:rFonts w:asciiTheme="minorHAnsi" w:hAnsiTheme="minorHAnsi" w:cs="Arial"/>
          <w:lang w:val="en-US"/>
        </w:rPr>
        <w:t>Tel.: +49 7071 7004-</w:t>
      </w:r>
      <w:r w:rsidR="00434B0A" w:rsidRPr="00425E48">
        <w:rPr>
          <w:rFonts w:asciiTheme="minorHAnsi" w:hAnsiTheme="minorHAnsi" w:cs="Arial"/>
          <w:lang w:val="en-US"/>
        </w:rPr>
        <w:t>1820</w:t>
      </w:r>
      <w:r w:rsidRPr="00425E48">
        <w:rPr>
          <w:rFonts w:asciiTheme="minorHAnsi" w:hAnsiTheme="minorHAnsi"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425E48">
        <w:rPr>
          <w:rFonts w:asciiTheme="minorHAnsi" w:hAnsiTheme="minorHAnsi" w:cs="Arial"/>
          <w:lang w:val="en-US"/>
        </w:rPr>
        <w:t xml:space="preserve">Email: </w:t>
      </w:r>
      <w:hyperlink r:id="rId8" w:history="1">
        <w:r w:rsidRPr="00425E48">
          <w:rPr>
            <w:rStyle w:val="Hyperlink"/>
            <w:rFonts w:asciiTheme="minorHAnsi" w:hAnsiTheme="minorHAnsi" w:cs="Arial"/>
            <w:color w:val="auto"/>
            <w:lang w:val="en-US"/>
          </w:rPr>
          <w:t>christian.thiele@phorn.de</w:t>
        </w:r>
      </w:hyperlink>
      <w:r w:rsidRPr="00425E48">
        <w:rPr>
          <w:rFonts w:asciiTheme="minorHAnsi" w:hAnsiTheme="minorHAnsi" w:cs="Arial"/>
          <w:lang w:val="en-US"/>
        </w:rPr>
        <w:t xml:space="preserve">, </w:t>
      </w:r>
      <w:hyperlink r:id="rId9" w:history="1">
        <w:r w:rsidRPr="00425E48">
          <w:rPr>
            <w:rStyle w:val="Hyperlink"/>
            <w:rFonts w:asciiTheme="minorHAnsi" w:hAnsiTheme="minorHAnsi"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96D" w:rsidRDefault="00C5596D" w:rsidP="00925DB2">
      <w:pPr>
        <w:spacing w:after="0" w:line="240" w:lineRule="auto"/>
      </w:pPr>
      <w:r>
        <w:separator/>
      </w:r>
    </w:p>
  </w:endnote>
  <w:endnote w:type="continuationSeparator" w:id="0">
    <w:p w:rsidR="00C5596D" w:rsidRDefault="00C5596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837D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837D8">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96D" w:rsidRDefault="00C5596D" w:rsidP="00925DB2">
      <w:pPr>
        <w:spacing w:after="0" w:line="240" w:lineRule="auto"/>
      </w:pPr>
      <w:r>
        <w:separator/>
      </w:r>
    </w:p>
  </w:footnote>
  <w:footnote w:type="continuationSeparator" w:id="0">
    <w:p w:rsidR="00C5596D" w:rsidRDefault="00C5596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425E48" w:rsidRDefault="00DD4B1C" w:rsidP="00F739CB">
    <w:pPr>
      <w:pStyle w:val="Kopfzeile"/>
      <w:tabs>
        <w:tab w:val="clear" w:pos="4536"/>
        <w:tab w:val="clear" w:pos="9072"/>
      </w:tabs>
      <w:rPr>
        <w:rFonts w:asciiTheme="minorHAnsi" w:hAnsiTheme="minorHAnsi" w:cs="Arial"/>
        <w:sz w:val="40"/>
        <w:szCs w:val="40"/>
      </w:rPr>
    </w:pPr>
    <w:r w:rsidRPr="00425E48">
      <w:rPr>
        <w:rFonts w:asciiTheme="minorHAnsi" w:hAnsiTheme="minorHAnsi" w:cs="Arial"/>
        <w:b/>
        <w:sz w:val="40"/>
        <w:szCs w:val="40"/>
      </w:rPr>
      <w:t>Presseinformation</w:t>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007A72FC" w:rsidRPr="00425E48">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425E48" w:rsidRDefault="00DD4B1C" w:rsidP="00F739CB">
    <w:pPr>
      <w:pStyle w:val="Kopfzeile"/>
      <w:tabs>
        <w:tab w:val="clear" w:pos="4536"/>
        <w:tab w:val="clear" w:pos="9072"/>
      </w:tabs>
      <w:rPr>
        <w:rFonts w:asciiTheme="minorHAnsi" w:hAnsiTheme="minorHAnsi" w:cs="Arial"/>
        <w:sz w:val="16"/>
        <w:szCs w:val="16"/>
      </w:rPr>
    </w:pP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00F96F35">
      <w:rPr>
        <w:rFonts w:asciiTheme="minorHAnsi" w:hAnsiTheme="minorHAnsi"/>
      </w:rPr>
      <w:t>September</w:t>
    </w:r>
    <w:r w:rsidR="007A72FC" w:rsidRPr="00425E48">
      <w:rPr>
        <w:rFonts w:asciiTheme="minorHAnsi" w:hAnsiTheme="minorHAnsi"/>
      </w:rPr>
      <w:t xml:space="preserve"> 2018</w:t>
    </w:r>
  </w:p>
  <w:p w:rsidR="00DD4B1C" w:rsidRPr="00425E48" w:rsidRDefault="00DD4B1C" w:rsidP="00F739CB">
    <w:pPr>
      <w:pStyle w:val="Kopfzeile"/>
      <w:rPr>
        <w:rFonts w:asciiTheme="minorHAnsi" w:hAnsi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7D8"/>
    <w:rsid w:val="00094644"/>
    <w:rsid w:val="000A36AA"/>
    <w:rsid w:val="000C3359"/>
    <w:rsid w:val="000C7345"/>
    <w:rsid w:val="00136B12"/>
    <w:rsid w:val="0016158B"/>
    <w:rsid w:val="001B3DED"/>
    <w:rsid w:val="001D3FDF"/>
    <w:rsid w:val="001E6C8C"/>
    <w:rsid w:val="001F0082"/>
    <w:rsid w:val="00214307"/>
    <w:rsid w:val="00233FBE"/>
    <w:rsid w:val="00255304"/>
    <w:rsid w:val="002B43E1"/>
    <w:rsid w:val="002B7497"/>
    <w:rsid w:val="002C5EEA"/>
    <w:rsid w:val="002D3034"/>
    <w:rsid w:val="002F6AA3"/>
    <w:rsid w:val="00330180"/>
    <w:rsid w:val="0037244C"/>
    <w:rsid w:val="003977AA"/>
    <w:rsid w:val="003D70ED"/>
    <w:rsid w:val="003E3E66"/>
    <w:rsid w:val="003E64B4"/>
    <w:rsid w:val="003F5834"/>
    <w:rsid w:val="00407668"/>
    <w:rsid w:val="0041301E"/>
    <w:rsid w:val="00425E48"/>
    <w:rsid w:val="00425F73"/>
    <w:rsid w:val="004335FD"/>
    <w:rsid w:val="00434B0A"/>
    <w:rsid w:val="00437AB3"/>
    <w:rsid w:val="00472F73"/>
    <w:rsid w:val="004B4972"/>
    <w:rsid w:val="004E285F"/>
    <w:rsid w:val="004E4EC2"/>
    <w:rsid w:val="004E6F5A"/>
    <w:rsid w:val="00521B1D"/>
    <w:rsid w:val="00545B8A"/>
    <w:rsid w:val="00551944"/>
    <w:rsid w:val="00554440"/>
    <w:rsid w:val="00556398"/>
    <w:rsid w:val="00567DA8"/>
    <w:rsid w:val="005B372D"/>
    <w:rsid w:val="005C0754"/>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82211"/>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651"/>
    <w:rsid w:val="00BA0AE7"/>
    <w:rsid w:val="00BC1085"/>
    <w:rsid w:val="00BD5A8D"/>
    <w:rsid w:val="00BD793B"/>
    <w:rsid w:val="00BE0F8E"/>
    <w:rsid w:val="00BE7556"/>
    <w:rsid w:val="00BF07D2"/>
    <w:rsid w:val="00C03381"/>
    <w:rsid w:val="00C512DF"/>
    <w:rsid w:val="00C51449"/>
    <w:rsid w:val="00C527F9"/>
    <w:rsid w:val="00C543FD"/>
    <w:rsid w:val="00C5596D"/>
    <w:rsid w:val="00C60406"/>
    <w:rsid w:val="00C60E5C"/>
    <w:rsid w:val="00C641DC"/>
    <w:rsid w:val="00C848B8"/>
    <w:rsid w:val="00D23703"/>
    <w:rsid w:val="00D62E01"/>
    <w:rsid w:val="00D933B9"/>
    <w:rsid w:val="00DA1A69"/>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91EEC"/>
    <w:rsid w:val="00F96F3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2015-02-20T10:59:00Z</cp:lastPrinted>
  <dcterms:created xsi:type="dcterms:W3CDTF">2018-07-24T12:12:00Z</dcterms:created>
  <dcterms:modified xsi:type="dcterms:W3CDTF">2018-10-16T11:15:00Z</dcterms:modified>
</cp:coreProperties>
</file>