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p>
    <w:p w:rsidR="006F3A10" w:rsidRDefault="00134982" w:rsidP="00925DB2">
      <w:pPr>
        <w:autoSpaceDE w:val="0"/>
        <w:autoSpaceDN w:val="0"/>
        <w:adjustRightInd w:val="0"/>
        <w:spacing w:after="0" w:line="360" w:lineRule="auto"/>
        <w:rPr>
          <w:rFonts w:ascii="Arial" w:hAnsi="Arial" w:cs="Arial"/>
          <w:b/>
          <w:sz w:val="24"/>
          <w:szCs w:val="24"/>
        </w:rPr>
      </w:pPr>
      <w:bookmarkStart w:id="0" w:name="_GoBack"/>
      <w:bookmarkEnd w:id="0"/>
      <w:r>
        <w:rPr>
          <w:rFonts w:ascii="Arial" w:hAnsi="Arial"/>
          <w:b/>
          <w:sz w:val="24"/>
          <w:szCs w:val="24"/>
        </w:rPr>
        <w:t>Fraises à fileter DCG pour M1 à M2,5</w:t>
      </w:r>
    </w:p>
    <w:p w:rsidR="00134982" w:rsidRPr="00CD3016" w:rsidRDefault="00134982" w:rsidP="00925DB2">
      <w:pPr>
        <w:autoSpaceDE w:val="0"/>
        <w:autoSpaceDN w:val="0"/>
        <w:adjustRightInd w:val="0"/>
        <w:spacing w:after="0" w:line="360" w:lineRule="auto"/>
        <w:rPr>
          <w:rFonts w:ascii="Arial" w:hAnsi="Arial" w:cs="Arial"/>
          <w:sz w:val="24"/>
          <w:szCs w:val="24"/>
        </w:rPr>
      </w:pPr>
      <w:r>
        <w:rPr>
          <w:rFonts w:ascii="Arial" w:hAnsi="Arial"/>
          <w:sz w:val="24"/>
          <w:szCs w:val="24"/>
        </w:rPr>
        <w:t>Réalisation de filetages dans des matériaux difficilement usinables</w:t>
      </w:r>
    </w:p>
    <w:p w:rsidR="00134982" w:rsidRDefault="00134982" w:rsidP="00925DB2">
      <w:pPr>
        <w:autoSpaceDE w:val="0"/>
        <w:autoSpaceDN w:val="0"/>
        <w:adjustRightInd w:val="0"/>
        <w:spacing w:after="0" w:line="360" w:lineRule="auto"/>
        <w:rPr>
          <w:rFonts w:ascii="Arial" w:hAnsi="Arial" w:cs="Arial"/>
        </w:rPr>
      </w:pPr>
    </w:p>
    <w:p w:rsidR="00134982" w:rsidRDefault="00134982" w:rsidP="00134982">
      <w:pPr>
        <w:autoSpaceDE w:val="0"/>
        <w:autoSpaceDN w:val="0"/>
        <w:adjustRightInd w:val="0"/>
        <w:spacing w:after="0" w:line="360" w:lineRule="auto"/>
        <w:jc w:val="both"/>
        <w:rPr>
          <w:rFonts w:ascii="Arial" w:hAnsi="Arial" w:cs="Arial"/>
        </w:rPr>
      </w:pPr>
      <w:r>
        <w:rPr>
          <w:rFonts w:ascii="Arial" w:hAnsi="Arial"/>
        </w:rPr>
        <w:t>Pour le fraisage de filetages, Horn présente des nouveautés dans le système DCG. Avec des applications allant de M1 à M2,5 (filetage métrique ISO DIN 13-20) dans le domaine du fraisage sécurisé de petits filetages, les possibilités d’utilisations de la série DCG ont été étendues. Les fraises sont dotées d’arêtes de coupe affûtées et, grâce à leur revêtement, leur utilisation est universelle. Les fraises VHM sont disponibles avec des longueurs de filetage standard jusqu’à 2 x D. Elles présentent une rentabilité et des performances élevées pour tous travaux sur acier, acier inoxydable, fonte, métaux non ferreux et en particulier sur des matériaux difficilement usinables, notamment dans les techniques médicales.</w:t>
      </w:r>
    </w:p>
    <w:p w:rsidR="00345634" w:rsidRDefault="00345634" w:rsidP="00134982">
      <w:pPr>
        <w:autoSpaceDE w:val="0"/>
        <w:autoSpaceDN w:val="0"/>
        <w:adjustRightInd w:val="0"/>
        <w:spacing w:after="0" w:line="360" w:lineRule="auto"/>
        <w:jc w:val="both"/>
        <w:rPr>
          <w:rFonts w:ascii="Arial" w:hAnsi="Arial" w:cs="Arial"/>
        </w:rPr>
      </w:pPr>
    </w:p>
    <w:p w:rsidR="00134982" w:rsidRPr="00134982" w:rsidRDefault="00134982" w:rsidP="00134982">
      <w:pPr>
        <w:autoSpaceDE w:val="0"/>
        <w:autoSpaceDN w:val="0"/>
        <w:adjustRightInd w:val="0"/>
        <w:spacing w:after="0" w:line="360" w:lineRule="auto"/>
        <w:jc w:val="both"/>
        <w:rPr>
          <w:rFonts w:ascii="Arial" w:hAnsi="Arial" w:cs="Arial"/>
        </w:rPr>
      </w:pPr>
      <w:r>
        <w:rPr>
          <w:rFonts w:ascii="Arial" w:hAnsi="Arial"/>
        </w:rPr>
        <w:t>Les fraises en carbone monobloc DCG ont fait leurs preuves depuis des années dans la réalisation de filetages de M3 à M12. Comme pour les fraises à fileter à plaquette, elles peuvent être employées pour divers pas et garantissent une grande flexibilité.</w:t>
      </w:r>
    </w:p>
    <w:p w:rsidR="00297E8C" w:rsidRDefault="00297E8C" w:rsidP="00925DB2">
      <w:pPr>
        <w:autoSpaceDE w:val="0"/>
        <w:autoSpaceDN w:val="0"/>
        <w:adjustRightInd w:val="0"/>
        <w:spacing w:after="0" w:line="360" w:lineRule="auto"/>
        <w:rPr>
          <w:rFonts w:ascii="Arial" w:hAnsi="Arial" w:cs="Arial"/>
          <w:i/>
        </w:rPr>
      </w:pPr>
    </w:p>
    <w:p w:rsidR="00DC36B0" w:rsidRPr="00C543FD" w:rsidRDefault="00134982" w:rsidP="00925DB2">
      <w:pPr>
        <w:autoSpaceDE w:val="0"/>
        <w:autoSpaceDN w:val="0"/>
        <w:adjustRightInd w:val="0"/>
        <w:spacing w:after="0" w:line="360" w:lineRule="auto"/>
        <w:rPr>
          <w:rFonts w:ascii="Arial" w:hAnsi="Arial" w:cs="Arial"/>
          <w:i/>
        </w:rPr>
      </w:pPr>
      <w:r>
        <w:rPr>
          <w:rFonts w:ascii="Arial" w:hAnsi="Arial"/>
          <w:i/>
        </w:rPr>
        <w:t>978 caractères espaces compris</w:t>
      </w:r>
    </w:p>
    <w:p w:rsidR="00221F09" w:rsidRDefault="00221F09" w:rsidP="00925DB2">
      <w:pPr>
        <w:autoSpaceDE w:val="0"/>
        <w:autoSpaceDN w:val="0"/>
        <w:adjustRightInd w:val="0"/>
        <w:spacing w:after="0" w:line="360" w:lineRule="auto"/>
        <w:rPr>
          <w:rFonts w:ascii="Arial" w:hAnsi="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Légende des photos :</w:t>
      </w:r>
    </w:p>
    <w:p w:rsidR="00A104B3" w:rsidRDefault="00297E8C" w:rsidP="00925DB2">
      <w:pPr>
        <w:autoSpaceDE w:val="0"/>
        <w:autoSpaceDN w:val="0"/>
        <w:adjustRightInd w:val="0"/>
        <w:spacing w:after="0" w:line="360" w:lineRule="auto"/>
        <w:rPr>
          <w:rFonts w:ascii="Arial" w:hAnsi="Arial" w:cs="Arial"/>
          <w:b/>
        </w:rPr>
      </w:pPr>
      <w:r>
        <w:rPr>
          <w:rFonts w:ascii="Arial" w:hAnsi="Arial"/>
          <w:b/>
          <w:noProof/>
          <w:lang w:val="de-DE" w:eastAsia="de-DE"/>
        </w:rPr>
        <w:drawing>
          <wp:inline distT="0" distB="0" distL="0" distR="0">
            <wp:extent cx="1978429" cy="1319434"/>
            <wp:effectExtent l="0" t="0" r="3175" b="0"/>
            <wp:docPr id="2" name="Grafik 2" descr="C:\Users\cstelzer\AppData\Local\Temp\Horn_DCG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Temp\Horn_DCG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3528" cy="1322834"/>
                    </a:xfrm>
                    <a:prstGeom prst="rect">
                      <a:avLst/>
                    </a:prstGeom>
                    <a:noFill/>
                    <a:ln>
                      <a:noFill/>
                    </a:ln>
                  </pic:spPr>
                </pic:pic>
              </a:graphicData>
            </a:graphic>
          </wp:inline>
        </w:drawing>
      </w:r>
    </w:p>
    <w:p w:rsidR="00134982" w:rsidRPr="00C543FD" w:rsidRDefault="00134982" w:rsidP="00925DB2">
      <w:pPr>
        <w:autoSpaceDE w:val="0"/>
        <w:autoSpaceDN w:val="0"/>
        <w:adjustRightInd w:val="0"/>
        <w:spacing w:after="0" w:line="360" w:lineRule="auto"/>
        <w:rPr>
          <w:rFonts w:ascii="Arial" w:hAnsi="Arial" w:cs="Arial"/>
          <w:b/>
        </w:rPr>
      </w:pPr>
    </w:p>
    <w:p w:rsidR="00762688" w:rsidRPr="00134982" w:rsidRDefault="00A104B3" w:rsidP="00925DB2">
      <w:pPr>
        <w:autoSpaceDE w:val="0"/>
        <w:autoSpaceDN w:val="0"/>
        <w:adjustRightInd w:val="0"/>
        <w:spacing w:after="0" w:line="360" w:lineRule="auto"/>
        <w:rPr>
          <w:rFonts w:ascii="Arial" w:hAnsi="Arial" w:cs="Arial"/>
        </w:rPr>
      </w:pPr>
      <w:r>
        <w:rPr>
          <w:rFonts w:ascii="Arial" w:hAnsi="Arial"/>
          <w:b/>
        </w:rPr>
        <w:t xml:space="preserve">Photo 1 : </w:t>
      </w:r>
      <w:r>
        <w:rPr>
          <w:rFonts w:ascii="Arial" w:hAnsi="Arial"/>
        </w:rPr>
        <w:t>Système de fraisage DCG pour divers pas</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Photo et texte :</w:t>
      </w:r>
      <w:r>
        <w:rPr>
          <w:rFonts w:ascii="Arial" w:hAnsi="Arial"/>
        </w:rPr>
        <w:t xml:space="preserve"> Paul Horn GmbH, Nico Sauermann</w:t>
      </w:r>
    </w:p>
    <w:p w:rsidR="00FB21CF" w:rsidRPr="00C543FD" w:rsidRDefault="00134982" w:rsidP="00925DB2">
      <w:pPr>
        <w:autoSpaceDE w:val="0"/>
        <w:autoSpaceDN w:val="0"/>
        <w:adjustRightInd w:val="0"/>
        <w:spacing w:after="0" w:line="360" w:lineRule="auto"/>
        <w:rPr>
          <w:rFonts w:ascii="Arial" w:hAnsi="Arial" w:cs="Arial"/>
        </w:rPr>
      </w:pPr>
      <w:r>
        <w:rPr>
          <w:rFonts w:ascii="Arial" w:hAnsi="Arial"/>
        </w:rPr>
        <w:t>Personne à contacter :</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Christian Thiele</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Unter dem Holz 33 – 35, 72072 Tübingen</w:t>
      </w:r>
    </w:p>
    <w:p w:rsidR="00940AAC" w:rsidRPr="00971DEB" w:rsidRDefault="00940AAC" w:rsidP="00925DB2">
      <w:pPr>
        <w:autoSpaceDE w:val="0"/>
        <w:autoSpaceDN w:val="0"/>
        <w:adjustRightInd w:val="0"/>
        <w:spacing w:after="0" w:line="360" w:lineRule="auto"/>
        <w:rPr>
          <w:rFonts w:ascii="Arial" w:hAnsi="Arial" w:cs="Arial"/>
        </w:rPr>
      </w:pPr>
      <w:r>
        <w:rPr>
          <w:rFonts w:ascii="Arial" w:hAnsi="Arial"/>
        </w:rPr>
        <w:t>Tél. : +49 7071 7004-1820, Fax : +49 7071 72893</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 xml:space="preserve">E-mail : </w:t>
      </w:r>
      <w:hyperlink r:id="rId7" w:history="1">
        <w:r>
          <w:rPr>
            <w:rStyle w:val="Hyperlink"/>
            <w:rFonts w:ascii="Arial" w:hAnsi="Arial"/>
            <w:color w:val="auto"/>
          </w:rPr>
          <w:t>christian.thiele@phorn.de</w:t>
        </w:r>
      </w:hyperlink>
      <w:r>
        <w:rPr>
          <w:rFonts w:ascii="Arial" w:hAnsi="Arial"/>
        </w:rPr>
        <w:t xml:space="preserve">, </w:t>
      </w:r>
      <w:hyperlink r:id="rId8" w:history="1">
        <w:r>
          <w:rPr>
            <w:rStyle w:val="Hyperlink"/>
            <w:rFonts w:ascii="Arial" w:hAnsi="Arial"/>
            <w:color w:val="auto"/>
          </w:rPr>
          <w:t>www.phorn.de</w:t>
        </w:r>
      </w:hyperlink>
      <w:r>
        <w:rPr>
          <w:rFonts w:ascii="Arial" w:hAnsi="Arial"/>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szCs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221F09">
      <w:rPr>
        <w:rFonts w:ascii="Arial" w:hAnsi="Arial" w:cs="Arial"/>
        <w:noProof/>
        <w:sz w:val="16"/>
        <w:szCs w:val="16"/>
      </w:rPr>
      <w:t>1</w:t>
    </w:r>
    <w:r w:rsidR="00A84F31" w:rsidRPr="00925DB2">
      <w:rPr>
        <w:rFonts w:ascii="Arial" w:hAnsi="Arial" w:cs="Arial"/>
        <w:sz w:val="16"/>
        <w:szCs w:val="16"/>
      </w:rPr>
      <w:fldChar w:fldCharType="end"/>
    </w:r>
    <w:r>
      <w:rPr>
        <w:rFonts w:ascii="Arial" w:hAnsi="Arial"/>
        <w:sz w:val="16"/>
        <w:szCs w:val="16"/>
      </w:rPr>
      <w:t xml:space="preserve"> sur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221F09">
      <w:rPr>
        <w:rFonts w:ascii="Arial" w:hAnsi="Arial" w:cs="Arial"/>
        <w:noProof/>
        <w:sz w:val="16"/>
        <w:szCs w:val="16"/>
      </w:rPr>
      <w:t>1</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szCs w:val="40"/>
      </w:rPr>
      <w:t>Communiqué de presse</w:t>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sidR="00221F09">
      <w:rPr>
        <w:rFonts w:ascii="Arial" w:hAnsi="Arial"/>
        <w:sz w:val="40"/>
        <w:szCs w:val="40"/>
      </w:rPr>
      <w:tab/>
    </w:r>
    <w:r>
      <w:rPr>
        <w:noProof/>
        <w:lang w:val="de-DE"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Novembre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455"/>
    <w:rsid w:val="000034D9"/>
    <w:rsid w:val="00014CB7"/>
    <w:rsid w:val="000327A8"/>
    <w:rsid w:val="00083723"/>
    <w:rsid w:val="00094644"/>
    <w:rsid w:val="000A36AA"/>
    <w:rsid w:val="000C3359"/>
    <w:rsid w:val="000C7345"/>
    <w:rsid w:val="00134982"/>
    <w:rsid w:val="00136B12"/>
    <w:rsid w:val="0016158B"/>
    <w:rsid w:val="001B3DED"/>
    <w:rsid w:val="001D3FDF"/>
    <w:rsid w:val="001E6C8C"/>
    <w:rsid w:val="001F0082"/>
    <w:rsid w:val="00221F09"/>
    <w:rsid w:val="00233FBE"/>
    <w:rsid w:val="00255304"/>
    <w:rsid w:val="00297E8C"/>
    <w:rsid w:val="002B43E1"/>
    <w:rsid w:val="002B7497"/>
    <w:rsid w:val="002C5EEA"/>
    <w:rsid w:val="002D3034"/>
    <w:rsid w:val="002F6AA3"/>
    <w:rsid w:val="00330180"/>
    <w:rsid w:val="00345634"/>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02B7"/>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71DEB"/>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32603"/>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2902"/>
    <w:rsid w:val="00C641DC"/>
    <w:rsid w:val="00C848B8"/>
    <w:rsid w:val="00C85CA7"/>
    <w:rsid w:val="00CA2910"/>
    <w:rsid w:val="00CD3016"/>
    <w:rsid w:val="00D62E01"/>
    <w:rsid w:val="00DA4DF2"/>
    <w:rsid w:val="00DA4F95"/>
    <w:rsid w:val="00DC36B0"/>
    <w:rsid w:val="00DD4B1C"/>
    <w:rsid w:val="00DE22B7"/>
    <w:rsid w:val="00E0265F"/>
    <w:rsid w:val="00E22D8A"/>
    <w:rsid w:val="00E43FFA"/>
    <w:rsid w:val="00E44CBF"/>
    <w:rsid w:val="00E47F2A"/>
    <w:rsid w:val="00EC7570"/>
    <w:rsid w:val="00EF64CF"/>
    <w:rsid w:val="00F103BF"/>
    <w:rsid w:val="00F11892"/>
    <w:rsid w:val="00F15E1F"/>
    <w:rsid w:val="00F46249"/>
    <w:rsid w:val="00F46FB3"/>
    <w:rsid w:val="00F53BFD"/>
    <w:rsid w:val="00F54949"/>
    <w:rsid w:val="00F739CB"/>
    <w:rsid w:val="00F82B4E"/>
    <w:rsid w:val="00F858B0"/>
    <w:rsid w:val="00F91EEC"/>
    <w:rsid w:val="00FA754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AD1A7B88-9346-46E3-95D0-404E15C2B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Transline Gruppe</Company>
  <LinksUpToDate>false</LinksUpToDate>
  <CharactersWithSpaces>1538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2017-11-15T07:02:00Z</cp:lastPrinted>
  <dcterms:created xsi:type="dcterms:W3CDTF">2017-11-15T10:18:00Z</dcterms:created>
  <dcterms:modified xsi:type="dcterms:W3CDTF">2017-11-29T10:56:00Z</dcterms:modified>
</cp:coreProperties>
</file>