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7A72FC" w:rsidRPr="006D2B74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rPr>
          <w:rFonts w:asciiTheme="minorHAnsi" w:hAnsiTheme="minorHAnsi"/>
          <w:b/>
        </w:rPr>
        <w:t>AMB 2018</w:t>
      </w:r>
      <w:r w:rsidR="002C4765">
        <w:rPr>
          <w:rFonts w:asciiTheme="minorHAnsi" w:hAnsiTheme="minorHAnsi"/>
          <w:b/>
        </w:rPr>
        <w:t xml:space="preserve"> / Intec 2019</w:t>
      </w:r>
    </w:p>
    <w:p w:rsidR="00D74C68" w:rsidRPr="006D2B74" w:rsidRDefault="007A72FC" w:rsidP="00D74C6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bookmarkStart w:id="0" w:name="_GoBack"/>
      <w:bookmarkEnd w:id="0"/>
    </w:p>
    <w:p w:rsidR="00A1326E" w:rsidRDefault="00A1326E" w:rsidP="00A1326E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1"/>
          <w:sz w:val="20"/>
          <w:szCs w:val="20"/>
        </w:rPr>
      </w:pP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kern w:val="1"/>
          <w:sz w:val="24"/>
          <w:szCs w:val="24"/>
        </w:rPr>
      </w:pPr>
      <w:r w:rsidRPr="00C72728">
        <w:rPr>
          <w:rFonts w:asciiTheme="minorHAnsi" w:hAnsiTheme="minorHAnsi" w:cs="TimesNewRomanPSMT"/>
          <w:b/>
          <w:kern w:val="1"/>
          <w:sz w:val="24"/>
          <w:szCs w:val="24"/>
        </w:rPr>
        <w:t>Polygon turning</w:t>
      </w: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 w:rsidRPr="00C72728">
        <w:rPr>
          <w:rFonts w:asciiTheme="minorHAnsi" w:hAnsiTheme="minorHAnsi" w:cs="TimesNewRomanPSMT"/>
          <w:kern w:val="1"/>
        </w:rPr>
        <w:t>Polygon turning for continuous series production</w:t>
      </w: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 w:cs="TimesNewRomanPSMT"/>
          <w:kern w:val="1"/>
        </w:rPr>
        <w:t xml:space="preserve">Paul Horn GmbH </w:t>
      </w:r>
      <w:r w:rsidRPr="00C72728">
        <w:rPr>
          <w:rFonts w:asciiTheme="minorHAnsi" w:hAnsiTheme="minorHAnsi" w:cs="TimesNewRomanPSMT"/>
          <w:kern w:val="1"/>
        </w:rPr>
        <w:t xml:space="preserve">is proud to present a technique for turning non-circular contours. By adopting an axial feed approach, the tools enable you to produce non-circular contours on lathes consistently. This technique makes it easier to produce polygon shapes, for example. During operation, the workpiece and tool axes </w:t>
      </w:r>
      <w:proofErr w:type="gramStart"/>
      <w:r w:rsidRPr="00C72728">
        <w:rPr>
          <w:rFonts w:asciiTheme="minorHAnsi" w:hAnsiTheme="minorHAnsi" w:cs="TimesNewRomanPSMT"/>
          <w:kern w:val="1"/>
        </w:rPr>
        <w:t>are offset</w:t>
      </w:r>
      <w:proofErr w:type="gramEnd"/>
      <w:r w:rsidRPr="00C72728">
        <w:rPr>
          <w:rFonts w:asciiTheme="minorHAnsi" w:hAnsiTheme="minorHAnsi" w:cs="TimesNewRomanPSMT"/>
          <w:kern w:val="1"/>
        </w:rPr>
        <w:t xml:space="preserve"> in relation to one another and a specific speed ratio is established between them. The tools are suitable for external or internal machining alike. Together, the axis offset, workpiece-to-tool speed ratio and circle of rotation of the cutting edge define the dimensions of the contour. Every tool system for polygon turning (non-circular turning) </w:t>
      </w:r>
      <w:proofErr w:type="gramStart"/>
      <w:r w:rsidRPr="00C72728">
        <w:rPr>
          <w:rFonts w:asciiTheme="minorHAnsi" w:hAnsiTheme="minorHAnsi" w:cs="TimesNewRomanPSMT"/>
          <w:kern w:val="1"/>
        </w:rPr>
        <w:t>is individually tailored</w:t>
      </w:r>
      <w:proofErr w:type="gramEnd"/>
      <w:r w:rsidRPr="00C72728">
        <w:rPr>
          <w:rFonts w:asciiTheme="minorHAnsi" w:hAnsiTheme="minorHAnsi" w:cs="TimesNewRomanPSMT"/>
          <w:kern w:val="1"/>
        </w:rPr>
        <w:t xml:space="preserve"> to the workpiece contour to be produced in each case.</w:t>
      </w: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 w:rsidRPr="00C72728">
        <w:rPr>
          <w:rFonts w:asciiTheme="minorHAnsi" w:hAnsiTheme="minorHAnsi" w:cs="TimesNewRomanPSMT"/>
          <w:kern w:val="1"/>
        </w:rPr>
        <w:t xml:space="preserve">The technique is highly suitable for series production processes because no jerky movements or reversals of motion occur during machining. Within this context, adjustable fine-boring heads </w:t>
      </w:r>
      <w:proofErr w:type="gramStart"/>
      <w:r w:rsidRPr="00C72728">
        <w:rPr>
          <w:rFonts w:asciiTheme="minorHAnsi" w:hAnsiTheme="minorHAnsi" w:cs="TimesNewRomanPSMT"/>
          <w:kern w:val="1"/>
        </w:rPr>
        <w:t>can be used</w:t>
      </w:r>
      <w:proofErr w:type="gramEnd"/>
      <w:r w:rsidRPr="00C72728">
        <w:rPr>
          <w:rFonts w:asciiTheme="minorHAnsi" w:hAnsiTheme="minorHAnsi" w:cs="TimesNewRomanPSMT"/>
          <w:kern w:val="1"/>
        </w:rPr>
        <w:t xml:space="preserve">. However, mass balancing and fine adjustment of the cutting edge are </w:t>
      </w:r>
      <w:proofErr w:type="gramStart"/>
      <w:r w:rsidRPr="00C72728">
        <w:rPr>
          <w:rFonts w:asciiTheme="minorHAnsi" w:hAnsiTheme="minorHAnsi" w:cs="TimesNewRomanPSMT"/>
          <w:kern w:val="1"/>
        </w:rPr>
        <w:t>absolutely vital</w:t>
      </w:r>
      <w:proofErr w:type="gramEnd"/>
      <w:r w:rsidRPr="00C72728">
        <w:rPr>
          <w:rFonts w:asciiTheme="minorHAnsi" w:hAnsiTheme="minorHAnsi" w:cs="TimesNewRomanPSMT"/>
          <w:kern w:val="1"/>
        </w:rPr>
        <w:t xml:space="preserve"> to ensuring a reliable process. H</w:t>
      </w:r>
      <w:r>
        <w:rPr>
          <w:rFonts w:asciiTheme="minorHAnsi" w:hAnsiTheme="minorHAnsi" w:cs="TimesNewRomanPSMT"/>
          <w:kern w:val="1"/>
        </w:rPr>
        <w:t>orn</w:t>
      </w:r>
      <w:r w:rsidRPr="00C72728">
        <w:rPr>
          <w:rFonts w:asciiTheme="minorHAnsi" w:hAnsiTheme="minorHAnsi" w:cs="TimesNewRomanPSMT"/>
          <w:kern w:val="1"/>
        </w:rPr>
        <w:t xml:space="preserve"> offers the polygon turning tool system whenever it receives enquiries from customers who are looking to produce splines, polygons and other shapes in a cost-effective manner. To create internal contours with polygon turning, H</w:t>
      </w:r>
      <w:r>
        <w:rPr>
          <w:rFonts w:asciiTheme="minorHAnsi" w:hAnsiTheme="minorHAnsi" w:cs="TimesNewRomanPSMT"/>
          <w:kern w:val="1"/>
        </w:rPr>
        <w:t>orn</w:t>
      </w:r>
      <w:r w:rsidRPr="00C72728">
        <w:rPr>
          <w:rFonts w:asciiTheme="minorHAnsi" w:hAnsiTheme="minorHAnsi" w:cs="TimesNewRomanPSMT"/>
          <w:kern w:val="1"/>
        </w:rPr>
        <w:t xml:space="preserve"> relies on the Supermini and Mini tool systems. External contours, on the other hand, </w:t>
      </w:r>
      <w:proofErr w:type="gramStart"/>
      <w:r w:rsidRPr="00C72728">
        <w:rPr>
          <w:rFonts w:asciiTheme="minorHAnsi" w:hAnsiTheme="minorHAnsi" w:cs="TimesNewRomanPSMT"/>
          <w:kern w:val="1"/>
        </w:rPr>
        <w:t>can be created</w:t>
      </w:r>
      <w:proofErr w:type="gramEnd"/>
      <w:r w:rsidRPr="00C72728">
        <w:rPr>
          <w:rFonts w:asciiTheme="minorHAnsi" w:hAnsiTheme="minorHAnsi" w:cs="TimesNewRomanPSMT"/>
          <w:kern w:val="1"/>
        </w:rPr>
        <w:t xml:space="preserve"> using the 274 double-edged </w:t>
      </w:r>
      <w:proofErr w:type="spellStart"/>
      <w:r w:rsidRPr="00C72728">
        <w:rPr>
          <w:rFonts w:asciiTheme="minorHAnsi" w:hAnsiTheme="minorHAnsi" w:cs="TimesNewRomanPSMT"/>
          <w:kern w:val="1"/>
        </w:rPr>
        <w:t>indexable</w:t>
      </w:r>
      <w:proofErr w:type="spellEnd"/>
      <w:r w:rsidRPr="00C72728">
        <w:rPr>
          <w:rFonts w:asciiTheme="minorHAnsi" w:hAnsiTheme="minorHAnsi" w:cs="TimesNewRomanPSMT"/>
          <w:kern w:val="1"/>
        </w:rPr>
        <w:t xml:space="preserve"> insert or ISO tools.</w:t>
      </w:r>
    </w:p>
    <w:p w:rsidR="00C72728" w:rsidRP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A3278A" w:rsidRPr="006D2B74" w:rsidRDefault="00A3278A" w:rsidP="00A3278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i/>
        </w:rPr>
      </w:pPr>
      <w:proofErr w:type="gramStart"/>
      <w:r>
        <w:rPr>
          <w:rFonts w:asciiTheme="minorHAnsi" w:hAnsiTheme="minorHAnsi"/>
          <w:i/>
        </w:rPr>
        <w:t>1.</w:t>
      </w:r>
      <w:r w:rsidR="00C72728">
        <w:rPr>
          <w:rFonts w:asciiTheme="minorHAnsi" w:hAnsiTheme="minorHAnsi"/>
          <w:i/>
        </w:rPr>
        <w:t>508</w:t>
      </w:r>
      <w:proofErr w:type="gramEnd"/>
      <w:r w:rsidRPr="006D2B74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>characters incl. spaces</w:t>
      </w:r>
    </w:p>
    <w:p w:rsidR="00A3278A" w:rsidRPr="006D2B74" w:rsidRDefault="00A3278A" w:rsidP="00A3278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</w:rPr>
        <w:t>Image captions:</w:t>
      </w:r>
    </w:p>
    <w:p w:rsidR="00A3278A" w:rsidRDefault="00C72728" w:rsidP="00A3278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 w:cs="TimesNewRomanPSMT"/>
          <w:noProof/>
          <w:kern w:val="1"/>
          <w:lang w:val="de-DE" w:eastAsia="de-DE" w:bidi="ar-SA"/>
        </w:rPr>
        <w:drawing>
          <wp:inline distT="0" distB="0" distL="0" distR="0" wp14:anchorId="3A8E9364">
            <wp:extent cx="1871345" cy="124396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278A">
        <w:rPr>
          <w:rFonts w:asciiTheme="minorHAnsi" w:hAnsiTheme="minorHAnsi" w:cs="TimesNewRomanPSMT"/>
          <w:kern w:val="1"/>
        </w:rPr>
        <w:tab/>
      </w:r>
      <w:r>
        <w:rPr>
          <w:rFonts w:asciiTheme="minorHAnsi" w:hAnsiTheme="minorHAnsi" w:cs="TimesNewRomanPSMT"/>
          <w:noProof/>
          <w:kern w:val="1"/>
          <w:lang w:val="de-DE" w:eastAsia="de-DE" w:bidi="ar-SA"/>
        </w:rPr>
        <w:drawing>
          <wp:inline distT="0" distB="0" distL="0" distR="0" wp14:anchorId="74111753">
            <wp:extent cx="1792605" cy="1195070"/>
            <wp:effectExtent l="0" t="0" r="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78A" w:rsidRPr="00A3278A" w:rsidRDefault="00A3278A" w:rsidP="00A3278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C72728" w:rsidRPr="00C72728" w:rsidRDefault="00A3278A" w:rsidP="00C727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/>
          <w:b/>
        </w:rPr>
        <w:t xml:space="preserve">Image: </w:t>
      </w:r>
      <w:r w:rsidR="00C72728" w:rsidRPr="00C72728">
        <w:rPr>
          <w:rFonts w:asciiTheme="minorHAnsi" w:hAnsiTheme="minorHAnsi" w:cs="TimesNewRomanPSMT"/>
          <w:kern w:val="1"/>
        </w:rPr>
        <w:t xml:space="preserve">The tool system </w:t>
      </w:r>
      <w:proofErr w:type="gramStart"/>
      <w:r w:rsidR="00C72728" w:rsidRPr="00C72728">
        <w:rPr>
          <w:rFonts w:asciiTheme="minorHAnsi" w:hAnsiTheme="minorHAnsi" w:cs="TimesNewRomanPSMT"/>
          <w:kern w:val="1"/>
        </w:rPr>
        <w:t>is based</w:t>
      </w:r>
      <w:proofErr w:type="gramEnd"/>
      <w:r w:rsidR="00C72728" w:rsidRPr="00C72728">
        <w:rPr>
          <w:rFonts w:asciiTheme="minorHAnsi" w:hAnsiTheme="minorHAnsi" w:cs="TimesNewRomanPSMT"/>
          <w:kern w:val="1"/>
        </w:rPr>
        <w:t xml:space="preserve"> on the Mini 114.</w:t>
      </w:r>
    </w:p>
    <w:p w:rsid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1"/>
          <w:sz w:val="20"/>
          <w:szCs w:val="20"/>
        </w:rPr>
      </w:pPr>
    </w:p>
    <w:p w:rsidR="00C72728" w:rsidRDefault="00C72728" w:rsidP="00C7272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i/>
        </w:rPr>
      </w:pPr>
    </w:p>
    <w:p w:rsidR="00A3278A" w:rsidRPr="00A3278A" w:rsidRDefault="00A3278A" w:rsidP="00A3278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5B372D" w:rsidRPr="006D2B74" w:rsidRDefault="00434B0A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  <w:b/>
        </w:rPr>
        <w:t>Text:</w:t>
      </w:r>
      <w:r w:rsidRPr="006D2B74">
        <w:rPr>
          <w:rFonts w:asciiTheme="minorHAnsi" w:hAnsiTheme="minorHAnsi"/>
        </w:rPr>
        <w:t xml:space="preserve"> Paul </w:t>
      </w:r>
      <w:r w:rsidR="00A3278A">
        <w:rPr>
          <w:rFonts w:asciiTheme="minorHAnsi" w:hAnsiTheme="minorHAnsi"/>
        </w:rPr>
        <w:t>Horn</w:t>
      </w:r>
      <w:r w:rsidRPr="006D2B74">
        <w:rPr>
          <w:rFonts w:asciiTheme="minorHAnsi" w:hAnsiTheme="minorHAnsi"/>
        </w:rPr>
        <w:t xml:space="preserve"> GmbH, Nico Sauermann</w:t>
      </w:r>
    </w:p>
    <w:p w:rsidR="009F72AB" w:rsidRDefault="00E069A8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Image</w:t>
      </w:r>
      <w:r w:rsidR="009F72AB" w:rsidRPr="006D2B74">
        <w:rPr>
          <w:rFonts w:asciiTheme="minorHAnsi" w:hAnsiTheme="minorHAnsi"/>
          <w:b/>
        </w:rPr>
        <w:t>:</w:t>
      </w:r>
      <w:r w:rsidR="009F72AB" w:rsidRPr="006D2B74">
        <w:rPr>
          <w:rFonts w:asciiTheme="minorHAnsi" w:hAnsiTheme="minorHAnsi"/>
        </w:rPr>
        <w:t xml:space="preserve"> </w:t>
      </w:r>
      <w:r w:rsidR="00A3278A">
        <w:rPr>
          <w:rFonts w:asciiTheme="minorHAnsi" w:hAnsiTheme="minorHAnsi"/>
        </w:rPr>
        <w:t>Horn</w:t>
      </w:r>
      <w:r w:rsidR="009F72AB" w:rsidRPr="006D2B74">
        <w:rPr>
          <w:rFonts w:asciiTheme="minorHAnsi" w:hAnsiTheme="minorHAnsi"/>
        </w:rPr>
        <w:t>/Sauermann</w:t>
      </w:r>
    </w:p>
    <w:p w:rsidR="008E6AF2" w:rsidRPr="006D2B74" w:rsidRDefault="008E6AF2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FB21CF" w:rsidRPr="006D2B74" w:rsidRDefault="00F737BE" w:rsidP="00D71F5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bCs/>
        </w:rPr>
      </w:pPr>
      <w:r w:rsidRPr="006D2B74">
        <w:rPr>
          <w:rFonts w:asciiTheme="minorHAnsi" w:hAnsiTheme="minorHAnsi"/>
          <w:b/>
        </w:rPr>
        <w:t>Contact person for enquiries:</w:t>
      </w:r>
    </w:p>
    <w:p w:rsidR="00FB21CF" w:rsidRPr="006D2B74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6D2B74">
        <w:rPr>
          <w:rFonts w:asciiTheme="minorHAnsi" w:hAnsiTheme="minorHAnsi"/>
        </w:rPr>
        <w:t>Hartmetall-Werkzeugfabrik</w:t>
      </w:r>
      <w:proofErr w:type="spellEnd"/>
      <w:r w:rsidRPr="006D2B74">
        <w:rPr>
          <w:rFonts w:asciiTheme="minorHAnsi" w:hAnsiTheme="minorHAnsi"/>
        </w:rPr>
        <w:t xml:space="preserve"> Paul </w:t>
      </w:r>
      <w:r w:rsidR="00A3278A">
        <w:rPr>
          <w:rFonts w:asciiTheme="minorHAnsi" w:hAnsiTheme="minorHAnsi"/>
        </w:rPr>
        <w:t>Horn</w:t>
      </w:r>
      <w:r w:rsidRPr="006D2B74">
        <w:rPr>
          <w:rFonts w:asciiTheme="minorHAnsi" w:hAnsiTheme="minorHAnsi"/>
        </w:rPr>
        <w:t xml:space="preserve"> GmbH, Christian Thiele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6D2B74">
        <w:rPr>
          <w:rFonts w:asciiTheme="minorHAnsi" w:hAnsiTheme="minorHAnsi"/>
        </w:rPr>
        <w:lastRenderedPageBreak/>
        <w:t>Unter</w:t>
      </w:r>
      <w:proofErr w:type="spellEnd"/>
      <w:r w:rsidRPr="006D2B74">
        <w:rPr>
          <w:rFonts w:asciiTheme="minorHAnsi" w:hAnsiTheme="minorHAnsi"/>
        </w:rPr>
        <w:t xml:space="preserve"> </w:t>
      </w:r>
      <w:proofErr w:type="spellStart"/>
      <w:r w:rsidRPr="006D2B74">
        <w:rPr>
          <w:rFonts w:asciiTheme="minorHAnsi" w:hAnsiTheme="minorHAnsi"/>
        </w:rPr>
        <w:t>dem</w:t>
      </w:r>
      <w:proofErr w:type="spellEnd"/>
      <w:r w:rsidRPr="006D2B74">
        <w:rPr>
          <w:rFonts w:asciiTheme="minorHAnsi" w:hAnsiTheme="minorHAnsi"/>
        </w:rPr>
        <w:t xml:space="preserve"> </w:t>
      </w:r>
      <w:proofErr w:type="spellStart"/>
      <w:r w:rsidRPr="006D2B74">
        <w:rPr>
          <w:rFonts w:asciiTheme="minorHAnsi" w:hAnsiTheme="minorHAnsi"/>
        </w:rPr>
        <w:t>Holz</w:t>
      </w:r>
      <w:proofErr w:type="spellEnd"/>
      <w:r w:rsidRPr="006D2B74">
        <w:rPr>
          <w:rFonts w:asciiTheme="minorHAnsi" w:hAnsiTheme="minorHAnsi"/>
        </w:rPr>
        <w:t xml:space="preserve"> 33-35, 72072 </w:t>
      </w:r>
      <w:proofErr w:type="spellStart"/>
      <w:r w:rsidRPr="006D2B74">
        <w:rPr>
          <w:rFonts w:asciiTheme="minorHAnsi" w:hAnsiTheme="minorHAnsi"/>
        </w:rPr>
        <w:t>Tübingen</w:t>
      </w:r>
      <w:proofErr w:type="spellEnd"/>
      <w:r w:rsidRPr="006D2B74">
        <w:rPr>
          <w:rFonts w:asciiTheme="minorHAnsi" w:hAnsiTheme="minorHAnsi"/>
        </w:rPr>
        <w:t>, Germany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>Tel.: +49 (0) 7071 7004-1820, Fax: +49 7071 72893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 xml:space="preserve">E-mail: </w:t>
      </w:r>
      <w:hyperlink r:id="rId8">
        <w:r w:rsidRPr="006D2B74">
          <w:rPr>
            <w:rStyle w:val="Hyperlink"/>
            <w:rFonts w:asciiTheme="minorHAnsi" w:hAnsiTheme="minorHAnsi"/>
            <w:color w:val="auto"/>
          </w:rPr>
          <w:t>christian.thiele@p</w:t>
        </w:r>
        <w:r w:rsidR="00A3278A">
          <w:rPr>
            <w:rStyle w:val="Hyperlink"/>
            <w:rFonts w:asciiTheme="minorHAnsi" w:hAnsiTheme="minorHAnsi"/>
            <w:color w:val="auto"/>
          </w:rPr>
          <w:t>Horn</w:t>
        </w:r>
        <w:r w:rsidRPr="006D2B74">
          <w:rPr>
            <w:rStyle w:val="Hyperlink"/>
            <w:rFonts w:asciiTheme="minorHAnsi" w:hAnsiTheme="minorHAnsi"/>
            <w:color w:val="auto"/>
          </w:rPr>
          <w:t>.de</w:t>
        </w:r>
      </w:hyperlink>
      <w:r w:rsidRPr="006D2B74">
        <w:rPr>
          <w:rFonts w:asciiTheme="minorHAnsi" w:hAnsiTheme="minorHAnsi"/>
        </w:rPr>
        <w:t xml:space="preserve">, </w:t>
      </w:r>
      <w:hyperlink r:id="rId9">
        <w:r w:rsidRPr="006D2B74">
          <w:rPr>
            <w:rStyle w:val="Hyperlink"/>
            <w:rFonts w:asciiTheme="minorHAnsi" w:hAnsiTheme="minorHAnsi"/>
            <w:color w:val="auto"/>
          </w:rPr>
          <w:t>www.p</w:t>
        </w:r>
        <w:r w:rsidR="00A3278A">
          <w:rPr>
            <w:rStyle w:val="Hyperlink"/>
            <w:rFonts w:asciiTheme="minorHAnsi" w:hAnsiTheme="minorHAnsi"/>
            <w:color w:val="auto"/>
          </w:rPr>
          <w:t>Horn</w:t>
        </w:r>
        <w:r w:rsidRPr="006D2B74">
          <w:rPr>
            <w:rStyle w:val="Hyperlink"/>
            <w:rFonts w:asciiTheme="minorHAnsi" w:hAnsiTheme="minorHAnsi"/>
            <w:color w:val="auto"/>
          </w:rPr>
          <w:t>.de</w:t>
        </w:r>
      </w:hyperlink>
      <w:r w:rsidRPr="006D2B74">
        <w:rPr>
          <w:rFonts w:asciiTheme="minorHAnsi" w:hAnsiTheme="minorHAnsi"/>
        </w:rPr>
        <w:t xml:space="preserve"> </w:t>
      </w:r>
    </w:p>
    <w:sectPr w:rsidR="00940AAC" w:rsidRPr="006D2B74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F84" w:rsidRDefault="000E5F84" w:rsidP="00925DB2">
      <w:pPr>
        <w:spacing w:after="0" w:line="240" w:lineRule="auto"/>
      </w:pPr>
      <w:r>
        <w:separator/>
      </w:r>
    </w:p>
  </w:endnote>
  <w:endnote w:type="continuationSeparator" w:id="0">
    <w:p w:rsidR="000E5F84" w:rsidRDefault="000E5F84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Page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C476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/>
        <w:sz w:val="16"/>
      </w:rPr>
      <w:t xml:space="preserve"> of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C476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F84" w:rsidRDefault="000E5F84" w:rsidP="00925DB2">
      <w:pPr>
        <w:spacing w:after="0" w:line="240" w:lineRule="auto"/>
      </w:pPr>
      <w:r>
        <w:separator/>
      </w:r>
    </w:p>
  </w:footnote>
  <w:footnote w:type="continuationSeparator" w:id="0">
    <w:p w:rsidR="000E5F84" w:rsidRDefault="000E5F84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3447CD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>
      <w:rPr>
        <w:rFonts w:asciiTheme="minorHAnsi" w:hAnsiTheme="minorHAnsi"/>
        <w:b/>
        <w:sz w:val="40"/>
      </w:rPr>
      <w:t>Press release</w:t>
    </w:r>
    <w:r>
      <w:tab/>
    </w:r>
    <w:r>
      <w:tab/>
    </w:r>
    <w:r>
      <w:tab/>
    </w:r>
    <w:r>
      <w:tab/>
    </w:r>
    <w:r w:rsidR="0032638A">
      <w:tab/>
    </w:r>
    <w:r>
      <w:tab/>
    </w:r>
    <w:r>
      <w:rPr>
        <w:rFonts w:asciiTheme="minorHAnsi" w:hAnsiTheme="minorHAnsi" w:cs="Arial"/>
        <w:noProof/>
        <w:sz w:val="40"/>
        <w:szCs w:val="40"/>
        <w:lang w:val="de-DE" w:eastAsia="de-DE" w:bidi="ar-SA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32638A">
      <w:t>September</w:t>
    </w:r>
    <w:r>
      <w:t xml:space="preserve"> 2018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05855"/>
    <w:rsid w:val="00014CB7"/>
    <w:rsid w:val="000327A8"/>
    <w:rsid w:val="00083723"/>
    <w:rsid w:val="00094644"/>
    <w:rsid w:val="000A36AA"/>
    <w:rsid w:val="000C3359"/>
    <w:rsid w:val="000C7345"/>
    <w:rsid w:val="000E5F84"/>
    <w:rsid w:val="00120179"/>
    <w:rsid w:val="0012598F"/>
    <w:rsid w:val="00136B12"/>
    <w:rsid w:val="0016158B"/>
    <w:rsid w:val="0017022A"/>
    <w:rsid w:val="001B1B8D"/>
    <w:rsid w:val="001B3DED"/>
    <w:rsid w:val="001D3FDF"/>
    <w:rsid w:val="001E6C8C"/>
    <w:rsid w:val="001F0082"/>
    <w:rsid w:val="00221CC5"/>
    <w:rsid w:val="00233FBE"/>
    <w:rsid w:val="00255304"/>
    <w:rsid w:val="002970A8"/>
    <w:rsid w:val="002B43E1"/>
    <w:rsid w:val="002B7497"/>
    <w:rsid w:val="002C4765"/>
    <w:rsid w:val="002C5EEA"/>
    <w:rsid w:val="002D3034"/>
    <w:rsid w:val="002F6AA3"/>
    <w:rsid w:val="0032011D"/>
    <w:rsid w:val="0032553C"/>
    <w:rsid w:val="0032638A"/>
    <w:rsid w:val="00330180"/>
    <w:rsid w:val="003447CD"/>
    <w:rsid w:val="0037244C"/>
    <w:rsid w:val="003977AA"/>
    <w:rsid w:val="003C42D2"/>
    <w:rsid w:val="003D70ED"/>
    <w:rsid w:val="003E3E66"/>
    <w:rsid w:val="003F5834"/>
    <w:rsid w:val="00407668"/>
    <w:rsid w:val="0041301E"/>
    <w:rsid w:val="0043062E"/>
    <w:rsid w:val="004335FD"/>
    <w:rsid w:val="00434B0A"/>
    <w:rsid w:val="00437AB3"/>
    <w:rsid w:val="00472F73"/>
    <w:rsid w:val="004B4972"/>
    <w:rsid w:val="004E1C33"/>
    <w:rsid w:val="004E285F"/>
    <w:rsid w:val="004E4EC2"/>
    <w:rsid w:val="004E6F5A"/>
    <w:rsid w:val="004F3F37"/>
    <w:rsid w:val="00521B1D"/>
    <w:rsid w:val="00545B8A"/>
    <w:rsid w:val="00554440"/>
    <w:rsid w:val="00556398"/>
    <w:rsid w:val="00567DA8"/>
    <w:rsid w:val="005B372D"/>
    <w:rsid w:val="005E299E"/>
    <w:rsid w:val="00607696"/>
    <w:rsid w:val="006155C0"/>
    <w:rsid w:val="00617E9D"/>
    <w:rsid w:val="00636ABA"/>
    <w:rsid w:val="00650455"/>
    <w:rsid w:val="00693D38"/>
    <w:rsid w:val="006A247B"/>
    <w:rsid w:val="006A5291"/>
    <w:rsid w:val="006D2B74"/>
    <w:rsid w:val="006F3A10"/>
    <w:rsid w:val="007019A7"/>
    <w:rsid w:val="00723E5C"/>
    <w:rsid w:val="00725BCA"/>
    <w:rsid w:val="00731DE2"/>
    <w:rsid w:val="00734587"/>
    <w:rsid w:val="00762688"/>
    <w:rsid w:val="0078218B"/>
    <w:rsid w:val="007913EC"/>
    <w:rsid w:val="007A221E"/>
    <w:rsid w:val="007A52E3"/>
    <w:rsid w:val="007A72FC"/>
    <w:rsid w:val="007D3C38"/>
    <w:rsid w:val="007F41C0"/>
    <w:rsid w:val="007F6A41"/>
    <w:rsid w:val="008371F7"/>
    <w:rsid w:val="008541F6"/>
    <w:rsid w:val="008773F2"/>
    <w:rsid w:val="00891832"/>
    <w:rsid w:val="008A1283"/>
    <w:rsid w:val="008D6D9E"/>
    <w:rsid w:val="008E6AF2"/>
    <w:rsid w:val="008F78CE"/>
    <w:rsid w:val="00904397"/>
    <w:rsid w:val="009123B9"/>
    <w:rsid w:val="00925DB2"/>
    <w:rsid w:val="00926A64"/>
    <w:rsid w:val="009359C7"/>
    <w:rsid w:val="00936781"/>
    <w:rsid w:val="00940AAC"/>
    <w:rsid w:val="009703B6"/>
    <w:rsid w:val="00995A54"/>
    <w:rsid w:val="00995EF8"/>
    <w:rsid w:val="009B0ADA"/>
    <w:rsid w:val="009B7A4E"/>
    <w:rsid w:val="009D12E3"/>
    <w:rsid w:val="009E08E7"/>
    <w:rsid w:val="009E2257"/>
    <w:rsid w:val="009E25AE"/>
    <w:rsid w:val="009F72AB"/>
    <w:rsid w:val="00A051EE"/>
    <w:rsid w:val="00A104B3"/>
    <w:rsid w:val="00A1326E"/>
    <w:rsid w:val="00A23939"/>
    <w:rsid w:val="00A31C8D"/>
    <w:rsid w:val="00A3278A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44844"/>
    <w:rsid w:val="00B505B7"/>
    <w:rsid w:val="00B5079A"/>
    <w:rsid w:val="00B6538A"/>
    <w:rsid w:val="00B83A0D"/>
    <w:rsid w:val="00BA0AE7"/>
    <w:rsid w:val="00BC1085"/>
    <w:rsid w:val="00BD5A8D"/>
    <w:rsid w:val="00BD793B"/>
    <w:rsid w:val="00BE0F8E"/>
    <w:rsid w:val="00BE7556"/>
    <w:rsid w:val="00BF07D2"/>
    <w:rsid w:val="00BF6C00"/>
    <w:rsid w:val="00C03381"/>
    <w:rsid w:val="00C27FF8"/>
    <w:rsid w:val="00C512DF"/>
    <w:rsid w:val="00C51449"/>
    <w:rsid w:val="00C527F9"/>
    <w:rsid w:val="00C543FD"/>
    <w:rsid w:val="00C60406"/>
    <w:rsid w:val="00C60E5C"/>
    <w:rsid w:val="00C641DC"/>
    <w:rsid w:val="00C64A07"/>
    <w:rsid w:val="00C72728"/>
    <w:rsid w:val="00C848B8"/>
    <w:rsid w:val="00D23703"/>
    <w:rsid w:val="00D62E01"/>
    <w:rsid w:val="00D71F5A"/>
    <w:rsid w:val="00D74C68"/>
    <w:rsid w:val="00DA4DF2"/>
    <w:rsid w:val="00DA4F95"/>
    <w:rsid w:val="00DC36B0"/>
    <w:rsid w:val="00DD4B1C"/>
    <w:rsid w:val="00DE22B7"/>
    <w:rsid w:val="00DF64B3"/>
    <w:rsid w:val="00E0265F"/>
    <w:rsid w:val="00E069A8"/>
    <w:rsid w:val="00E22D8A"/>
    <w:rsid w:val="00E264E0"/>
    <w:rsid w:val="00E44508"/>
    <w:rsid w:val="00E44CBF"/>
    <w:rsid w:val="00E47F2A"/>
    <w:rsid w:val="00E82FFC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7BE"/>
    <w:rsid w:val="00F739CB"/>
    <w:rsid w:val="00F82B4E"/>
    <w:rsid w:val="00F91EEC"/>
    <w:rsid w:val="00FA7917"/>
    <w:rsid w:val="00FB02CC"/>
    <w:rsid w:val="00FB21CF"/>
    <w:rsid w:val="00FB401E"/>
    <w:rsid w:val="00FC073A"/>
    <w:rsid w:val="00FC1AF8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AF20D7-74C9-4E66-89CF-74A43878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paragraph" w:styleId="berarbeitung">
    <w:name w:val="Revision"/>
    <w:hidden/>
    <w:uiPriority w:val="99"/>
    <w:semiHidden/>
    <w:rsid w:val="00E069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Transline Gruppe</Company>
  <LinksUpToDate>false</LinksUpToDate>
  <CharactersWithSpaces>2061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4</cp:revision>
  <cp:lastPrinted>2015-02-20T10:59:00Z</cp:lastPrinted>
  <dcterms:created xsi:type="dcterms:W3CDTF">2018-08-14T14:48:00Z</dcterms:created>
  <dcterms:modified xsi:type="dcterms:W3CDTF">2018-10-16T11:15:00Z</dcterms:modified>
</cp:coreProperties>
</file>