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F46FB3" w:rsidRPr="006D2B74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rPr>
          <w:rFonts w:asciiTheme="minorHAnsi" w:hAnsiTheme="minorHAnsi"/>
          <w:b/>
        </w:rPr>
        <w:t xml:space="preserve">Preliminary report </w:t>
      </w:r>
    </w:p>
    <w:p w:rsidR="007A72FC" w:rsidRPr="006D2B74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rPr>
          <w:rFonts w:asciiTheme="minorHAnsi" w:hAnsiTheme="minorHAnsi"/>
          <w:b/>
        </w:rPr>
        <w:t>AMB 2018, Stuttgart</w:t>
      </w:r>
    </w:p>
    <w:p w:rsidR="00D74C68" w:rsidRPr="006D2B74" w:rsidRDefault="007A72FC" w:rsidP="00D74C6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rPr>
          <w:rFonts w:asciiTheme="minorHAnsi" w:hAnsiTheme="minorHAnsi"/>
          <w:b/>
        </w:rPr>
        <w:t>Hall 1, Stand 1J18</w:t>
      </w:r>
    </w:p>
    <w:p w:rsidR="00D74C68" w:rsidRPr="006D2B74" w:rsidRDefault="00D74C68" w:rsidP="00D74C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74C68" w:rsidRPr="006D2B74" w:rsidRDefault="00D74C68" w:rsidP="00D74C6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D2B74">
        <w:rPr>
          <w:b/>
          <w:sz w:val="24"/>
        </w:rPr>
        <w:t>32T system</w:t>
      </w:r>
    </w:p>
    <w:p w:rsidR="00D74C68" w:rsidRPr="006D2B74" w:rsidRDefault="00D74C68" w:rsidP="00D74C68"/>
    <w:p w:rsidR="00D74C68" w:rsidRPr="006D2B74" w:rsidRDefault="00D74C68" w:rsidP="00D74C68">
      <w:r w:rsidRPr="006D2B74">
        <w:t xml:space="preserve">Paul Horn GmbH presents the new 32T system for </w:t>
      </w:r>
      <w:r w:rsidR="00005855">
        <w:t>grooving</w:t>
      </w:r>
      <w:r w:rsidR="00E44508">
        <w:t xml:space="preserve"> and parting off</w:t>
      </w:r>
      <w:r w:rsidR="00005855" w:rsidRPr="006D2B74">
        <w:t xml:space="preserve"> </w:t>
      </w:r>
      <w:r w:rsidRPr="006D2B74">
        <w:t xml:space="preserve">on Swiss-type lathes and smaller </w:t>
      </w:r>
      <w:r w:rsidR="00E44508">
        <w:t xml:space="preserve">fixed-head </w:t>
      </w:r>
      <w:r w:rsidRPr="006D2B74">
        <w:t xml:space="preserve">lathes. With a precision-sintered grooving insert and central clamping screw, the tool system offers high indexability of the cutting insert and direct entry into the insert seat of the tool carrier. </w:t>
      </w:r>
      <w:r w:rsidR="00005855">
        <w:t>Additionally</w:t>
      </w:r>
      <w:r w:rsidRPr="006D2B74">
        <w:t xml:space="preserve">, there is no need for clamping elements, which may have a </w:t>
      </w:r>
      <w:r w:rsidR="00005855">
        <w:t>detrimental</w:t>
      </w:r>
      <w:r w:rsidR="00005855" w:rsidRPr="006D2B74">
        <w:t xml:space="preserve"> </w:t>
      </w:r>
      <w:r w:rsidRPr="006D2B74">
        <w:t xml:space="preserve">effect on chip flow. The screw head of the clamping bolt does not </w:t>
      </w:r>
      <w:r w:rsidR="00005855">
        <w:t>introduce</w:t>
      </w:r>
      <w:r w:rsidR="00005855" w:rsidRPr="006D2B74">
        <w:t xml:space="preserve"> </w:t>
      </w:r>
      <w:r w:rsidRPr="006D2B74">
        <w:t xml:space="preserve">interfering contours and therefore permits both grooving on a collar and parting off directly </w:t>
      </w:r>
      <w:r w:rsidR="00005855">
        <w:t>at</w:t>
      </w:r>
      <w:r w:rsidR="00005855" w:rsidRPr="006D2B74">
        <w:t xml:space="preserve"> </w:t>
      </w:r>
      <w:r w:rsidRPr="006D2B74">
        <w:t xml:space="preserve">the spindle. The grooving insert can be used as a neutral insert and as both a left-hand and a right-hand insert. The 32T system completes Horn's portfolio of triple-edge cutting inserts by offering a solution for smaller-scale applications. By adding the new system to its range, the tool manufacturer is responding to customer requests for a triple-edge cutting insert system for Swiss-type lathes </w:t>
      </w:r>
      <w:r w:rsidR="0012598F">
        <w:t>and other</w:t>
      </w:r>
      <w:r w:rsidRPr="006D2B74">
        <w:t xml:space="preserve"> smaller </w:t>
      </w:r>
      <w:r w:rsidR="00005855">
        <w:t xml:space="preserve">turning </w:t>
      </w:r>
      <w:r w:rsidRPr="006D2B74">
        <w:t xml:space="preserve">machines, in particular in applications where space is at a premium. </w:t>
      </w:r>
    </w:p>
    <w:p w:rsidR="00D74C68" w:rsidRPr="006D2B74" w:rsidRDefault="00D74C68" w:rsidP="00D74C68">
      <w:r w:rsidRPr="006D2B74">
        <w:t xml:space="preserve">The maximum groove depth of the system is 4 mm with a groove width of 2 mm or 2.5 mm. For grooving operations, the inserts are available with both straight and full radius cutting edges. Horn offers the indexable insert with a 15-degree chamfer for parting off. A cylindrically ground chip </w:t>
      </w:r>
      <w:r w:rsidR="004F3F37">
        <w:t>breaker</w:t>
      </w:r>
      <w:r w:rsidR="004F3F37" w:rsidRPr="006D2B74">
        <w:t xml:space="preserve"> </w:t>
      </w:r>
      <w:r w:rsidRPr="006D2B74">
        <w:t xml:space="preserve">geometry makes for reliable chip removal. The tool carrier is designed as a square shank of 10 x 10 mm </w:t>
      </w:r>
      <w:r w:rsidR="001B1B8D">
        <w:t>or</w:t>
      </w:r>
      <w:r w:rsidR="001B1B8D" w:rsidRPr="006D2B74">
        <w:t xml:space="preserve"> </w:t>
      </w:r>
      <w:r w:rsidRPr="006D2B74">
        <w:t>12 x 12 mm</w:t>
      </w:r>
      <w:r w:rsidR="004F3F37">
        <w:t xml:space="preserve"> cross section</w:t>
      </w:r>
      <w:r w:rsidRPr="006D2B74">
        <w:t xml:space="preserve">. Each version features an internal coolant supply and is available in both left-hand and right-hand designs. </w:t>
      </w:r>
    </w:p>
    <w:p w:rsidR="00F15E1F" w:rsidRPr="006D2B74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6D2B74" w:rsidRDefault="00D74C6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i/>
        </w:rPr>
      </w:pPr>
      <w:r w:rsidRPr="006D2B74">
        <w:rPr>
          <w:rFonts w:asciiTheme="minorHAnsi" w:hAnsiTheme="minorHAnsi"/>
          <w:i/>
        </w:rPr>
        <w:t>1.</w:t>
      </w:r>
      <w:r w:rsidR="00E069A8">
        <w:rPr>
          <w:rFonts w:asciiTheme="minorHAnsi" w:hAnsiTheme="minorHAnsi"/>
          <w:i/>
        </w:rPr>
        <w:t>605</w:t>
      </w:r>
      <w:r w:rsidRPr="006D2B74">
        <w:rPr>
          <w:rFonts w:asciiTheme="minorHAnsi" w:hAnsiTheme="minorHAnsi"/>
          <w:i/>
        </w:rPr>
        <w:t xml:space="preserve"> </w:t>
      </w:r>
      <w:r w:rsidR="00E069A8">
        <w:rPr>
          <w:rFonts w:asciiTheme="minorHAnsi" w:hAnsiTheme="minorHAnsi"/>
          <w:i/>
        </w:rPr>
        <w:t>characters incl. spaces</w:t>
      </w:r>
    </w:p>
    <w:p w:rsidR="007A72FC" w:rsidRPr="006D2B74" w:rsidRDefault="007A72F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7A72FC" w:rsidRPr="006D2B74" w:rsidRDefault="007A72F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31C8D" w:rsidRPr="006D2B74" w:rsidRDefault="00A31C8D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FB21CF" w:rsidRPr="006D2B74" w:rsidRDefault="00E069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t>Image captions:</w:t>
      </w:r>
    </w:p>
    <w:p w:rsidR="00A104B3" w:rsidRPr="006D2B74" w:rsidRDefault="00A104B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9F72AB" w:rsidRPr="006D2B74" w:rsidRDefault="009F72AB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rPr>
          <w:rFonts w:asciiTheme="minorHAnsi" w:hAnsiTheme="minorHAnsi" w:cs="Arial"/>
          <w:b/>
          <w:noProof/>
          <w:lang w:val="de-DE" w:eastAsia="de-DE" w:bidi="ar-SA"/>
        </w:rPr>
        <w:drawing>
          <wp:inline distT="0" distB="0" distL="0" distR="0" wp14:anchorId="46A892B7" wp14:editId="4C114F0C">
            <wp:extent cx="2483708" cy="3725562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rn_PI_32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777" cy="375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2AB" w:rsidRPr="006D2B74" w:rsidRDefault="009F72AB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762688" w:rsidRPr="006D2B74" w:rsidRDefault="00E069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t xml:space="preserve">Image 1: </w:t>
      </w:r>
      <w:bookmarkStart w:id="0" w:name="_GoBack"/>
      <w:bookmarkEnd w:id="0"/>
      <w:r w:rsidR="00F737BE" w:rsidRPr="006D2B74">
        <w:rPr>
          <w:rFonts w:asciiTheme="minorHAnsi" w:hAnsiTheme="minorHAnsi"/>
        </w:rPr>
        <w:t xml:space="preserve">The new 32T system is designed for use on Swiss-type lathes and smaller </w:t>
      </w:r>
      <w:r w:rsidR="00E44508">
        <w:rPr>
          <w:rFonts w:asciiTheme="minorHAnsi" w:hAnsiTheme="minorHAnsi"/>
        </w:rPr>
        <w:t xml:space="preserve">fixed-head </w:t>
      </w:r>
      <w:r w:rsidR="00F737BE" w:rsidRPr="006D2B74">
        <w:rPr>
          <w:rFonts w:asciiTheme="minorHAnsi" w:hAnsiTheme="minorHAnsi"/>
        </w:rPr>
        <w:t>lathes.</w:t>
      </w:r>
    </w:p>
    <w:p w:rsidR="00A104B3" w:rsidRPr="006D2B74" w:rsidRDefault="00A104B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67DA8" w:rsidRPr="006D2B74" w:rsidRDefault="00567D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67DA8" w:rsidRPr="006D2B74" w:rsidRDefault="00567D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B372D" w:rsidRPr="006D2B74" w:rsidRDefault="00434B0A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  <w:b/>
        </w:rPr>
        <w:t>Text:</w:t>
      </w:r>
      <w:r w:rsidRPr="006D2B74">
        <w:rPr>
          <w:rFonts w:asciiTheme="minorHAnsi" w:hAnsiTheme="minorHAnsi"/>
        </w:rPr>
        <w:t xml:space="preserve"> Paul Horn GmbH, Nico Sauermann</w:t>
      </w:r>
    </w:p>
    <w:p w:rsidR="009F72AB" w:rsidRPr="006D2B74" w:rsidRDefault="00E069A8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/>
          <w:b/>
        </w:rPr>
        <w:t>Image</w:t>
      </w:r>
      <w:r w:rsidR="009F72AB" w:rsidRPr="006D2B74">
        <w:rPr>
          <w:rFonts w:asciiTheme="minorHAnsi" w:hAnsiTheme="minorHAnsi"/>
          <w:b/>
        </w:rPr>
        <w:t>:</w:t>
      </w:r>
      <w:r w:rsidR="009F72AB" w:rsidRPr="006D2B74">
        <w:rPr>
          <w:rFonts w:asciiTheme="minorHAnsi" w:hAnsiTheme="minorHAnsi"/>
        </w:rPr>
        <w:t xml:space="preserve"> Horn/Sauermann</w:t>
      </w:r>
    </w:p>
    <w:p w:rsidR="00FB21CF" w:rsidRPr="006D2B74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FB21CF" w:rsidRPr="006D2B74" w:rsidRDefault="00F737BE" w:rsidP="00D71F5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bCs/>
        </w:rPr>
      </w:pPr>
      <w:r w:rsidRPr="006D2B74">
        <w:rPr>
          <w:rFonts w:asciiTheme="minorHAnsi" w:hAnsiTheme="minorHAnsi"/>
          <w:b/>
        </w:rPr>
        <w:t>Contact person for enquiries:</w:t>
      </w:r>
    </w:p>
    <w:p w:rsidR="00FB21CF" w:rsidRPr="006D2B74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>Hartmetall-Werkzeugfabrik Paul Horn GmbH, Christian Thiele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>Unter dem Holz 33-35, 72072 Tübingen, Germany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>Tel.: +49 (0) 7071 7004-1820, Fax: +49 7071 72893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 xml:space="preserve">E-mail: </w:t>
      </w:r>
      <w:hyperlink r:id="rId7">
        <w:r w:rsidRPr="006D2B74">
          <w:rPr>
            <w:rStyle w:val="Hyperlink"/>
            <w:rFonts w:asciiTheme="minorHAnsi" w:hAnsiTheme="minorHAnsi"/>
            <w:color w:val="auto"/>
          </w:rPr>
          <w:t>christian.thiele@phorn.de</w:t>
        </w:r>
      </w:hyperlink>
      <w:r w:rsidRPr="006D2B74">
        <w:rPr>
          <w:rFonts w:asciiTheme="minorHAnsi" w:hAnsiTheme="minorHAnsi"/>
        </w:rPr>
        <w:t xml:space="preserve">, </w:t>
      </w:r>
      <w:hyperlink r:id="rId8">
        <w:r w:rsidRPr="006D2B74">
          <w:rPr>
            <w:rStyle w:val="Hyperlink"/>
            <w:rFonts w:asciiTheme="minorHAnsi" w:hAnsiTheme="minorHAnsi"/>
            <w:color w:val="auto"/>
          </w:rPr>
          <w:t>www.phorn.de</w:t>
        </w:r>
      </w:hyperlink>
      <w:r w:rsidRPr="006D2B74">
        <w:rPr>
          <w:rFonts w:asciiTheme="minorHAnsi" w:hAnsiTheme="minorHAnsi"/>
        </w:rPr>
        <w:t xml:space="preserve"> </w:t>
      </w:r>
    </w:p>
    <w:sectPr w:rsidR="00940AAC" w:rsidRPr="006D2B74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AF8" w:rsidRDefault="00FC1AF8" w:rsidP="00925DB2">
      <w:pPr>
        <w:spacing w:after="0" w:line="240" w:lineRule="auto"/>
      </w:pPr>
      <w:r>
        <w:separator/>
      </w:r>
    </w:p>
  </w:endnote>
  <w:endnote w:type="continuationSeparator" w:id="0">
    <w:p w:rsidR="00FC1AF8" w:rsidRDefault="00FC1AF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E069A8">
      <w:rPr>
        <w:rFonts w:ascii="Arial" w:hAnsi="Arial" w:cs="Arial"/>
        <w:noProof/>
        <w:sz w:val="16"/>
        <w:szCs w:val="16"/>
      </w:rPr>
      <w:t>1</w:t>
    </w:r>
    <w:r w:rsidR="00A84F31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of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E069A8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AF8" w:rsidRDefault="00FC1AF8" w:rsidP="00925DB2">
      <w:pPr>
        <w:spacing w:after="0" w:line="240" w:lineRule="auto"/>
      </w:pPr>
      <w:r>
        <w:separator/>
      </w:r>
    </w:p>
  </w:footnote>
  <w:footnote w:type="continuationSeparator" w:id="0">
    <w:p w:rsidR="00FC1AF8" w:rsidRDefault="00FC1AF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3447CD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>
      <w:rPr>
        <w:rFonts w:asciiTheme="minorHAnsi" w:hAnsiTheme="minorHAnsi"/>
        <w:b/>
        <w:sz w:val="40"/>
      </w:rPr>
      <w:t>Press release</w:t>
    </w:r>
    <w:r>
      <w:tab/>
    </w:r>
    <w:r>
      <w:tab/>
    </w:r>
    <w:r>
      <w:tab/>
    </w:r>
    <w:r>
      <w:tab/>
    </w:r>
    <w:r>
      <w:tab/>
    </w:r>
    <w:r>
      <w:rPr>
        <w:rFonts w:asciiTheme="minorHAnsi" w:hAnsiTheme="minorHAnsi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July 2018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05855"/>
    <w:rsid w:val="00014CB7"/>
    <w:rsid w:val="000327A8"/>
    <w:rsid w:val="00083723"/>
    <w:rsid w:val="00094644"/>
    <w:rsid w:val="000A36AA"/>
    <w:rsid w:val="000C3359"/>
    <w:rsid w:val="000C7345"/>
    <w:rsid w:val="0012598F"/>
    <w:rsid w:val="00136B12"/>
    <w:rsid w:val="0016158B"/>
    <w:rsid w:val="0017022A"/>
    <w:rsid w:val="001B1B8D"/>
    <w:rsid w:val="001B3DED"/>
    <w:rsid w:val="001D3FDF"/>
    <w:rsid w:val="001E6C8C"/>
    <w:rsid w:val="001F0082"/>
    <w:rsid w:val="00233FBE"/>
    <w:rsid w:val="00255304"/>
    <w:rsid w:val="002970A8"/>
    <w:rsid w:val="002B43E1"/>
    <w:rsid w:val="002B7497"/>
    <w:rsid w:val="002C5EEA"/>
    <w:rsid w:val="002D3034"/>
    <w:rsid w:val="002F6AA3"/>
    <w:rsid w:val="0032011D"/>
    <w:rsid w:val="0032553C"/>
    <w:rsid w:val="00330180"/>
    <w:rsid w:val="003447CD"/>
    <w:rsid w:val="0037244C"/>
    <w:rsid w:val="003977AA"/>
    <w:rsid w:val="003C42D2"/>
    <w:rsid w:val="003D70ED"/>
    <w:rsid w:val="003E3E66"/>
    <w:rsid w:val="003F5834"/>
    <w:rsid w:val="00407668"/>
    <w:rsid w:val="0041301E"/>
    <w:rsid w:val="0043062E"/>
    <w:rsid w:val="004335FD"/>
    <w:rsid w:val="00434B0A"/>
    <w:rsid w:val="00437AB3"/>
    <w:rsid w:val="00472F73"/>
    <w:rsid w:val="004B4972"/>
    <w:rsid w:val="004E1C33"/>
    <w:rsid w:val="004E285F"/>
    <w:rsid w:val="004E4EC2"/>
    <w:rsid w:val="004E6F5A"/>
    <w:rsid w:val="004F3F37"/>
    <w:rsid w:val="00521B1D"/>
    <w:rsid w:val="00545B8A"/>
    <w:rsid w:val="00554440"/>
    <w:rsid w:val="00556398"/>
    <w:rsid w:val="00567DA8"/>
    <w:rsid w:val="005B372D"/>
    <w:rsid w:val="005E299E"/>
    <w:rsid w:val="00607696"/>
    <w:rsid w:val="006155C0"/>
    <w:rsid w:val="00617E9D"/>
    <w:rsid w:val="00636ABA"/>
    <w:rsid w:val="00650455"/>
    <w:rsid w:val="00693D38"/>
    <w:rsid w:val="006A247B"/>
    <w:rsid w:val="006A5291"/>
    <w:rsid w:val="006D2B74"/>
    <w:rsid w:val="006F3A10"/>
    <w:rsid w:val="007019A7"/>
    <w:rsid w:val="00723E5C"/>
    <w:rsid w:val="00725BCA"/>
    <w:rsid w:val="00731DE2"/>
    <w:rsid w:val="00734587"/>
    <w:rsid w:val="00762688"/>
    <w:rsid w:val="0078218B"/>
    <w:rsid w:val="007913EC"/>
    <w:rsid w:val="007A52E3"/>
    <w:rsid w:val="007A72FC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36781"/>
    <w:rsid w:val="00940AAC"/>
    <w:rsid w:val="009703B6"/>
    <w:rsid w:val="00995A54"/>
    <w:rsid w:val="00995EF8"/>
    <w:rsid w:val="009B0ADA"/>
    <w:rsid w:val="009B7A4E"/>
    <w:rsid w:val="009D12E3"/>
    <w:rsid w:val="009E08E7"/>
    <w:rsid w:val="009E2257"/>
    <w:rsid w:val="009E25AE"/>
    <w:rsid w:val="009F72AB"/>
    <w:rsid w:val="00A051EE"/>
    <w:rsid w:val="00A104B3"/>
    <w:rsid w:val="00A23939"/>
    <w:rsid w:val="00A31C8D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4A07"/>
    <w:rsid w:val="00C848B8"/>
    <w:rsid w:val="00D23703"/>
    <w:rsid w:val="00D62E01"/>
    <w:rsid w:val="00D71F5A"/>
    <w:rsid w:val="00D74C68"/>
    <w:rsid w:val="00DA4DF2"/>
    <w:rsid w:val="00DA4F95"/>
    <w:rsid w:val="00DC36B0"/>
    <w:rsid w:val="00DD4B1C"/>
    <w:rsid w:val="00DE22B7"/>
    <w:rsid w:val="00E0265F"/>
    <w:rsid w:val="00E069A8"/>
    <w:rsid w:val="00E22D8A"/>
    <w:rsid w:val="00E44508"/>
    <w:rsid w:val="00E44CBF"/>
    <w:rsid w:val="00E47F2A"/>
    <w:rsid w:val="00E82FFC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7BE"/>
    <w:rsid w:val="00F739CB"/>
    <w:rsid w:val="00F82B4E"/>
    <w:rsid w:val="00F91EEC"/>
    <w:rsid w:val="00FA7917"/>
    <w:rsid w:val="00FB02CC"/>
    <w:rsid w:val="00FB21CF"/>
    <w:rsid w:val="00FB401E"/>
    <w:rsid w:val="00FC073A"/>
    <w:rsid w:val="00FC1AF8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AF20D7-74C9-4E66-89CF-74A43878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paragraph" w:styleId="berarbeitung">
    <w:name w:val="Revision"/>
    <w:hidden/>
    <w:uiPriority w:val="99"/>
    <w:semiHidden/>
    <w:rsid w:val="00E069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Transline Gruppe</Company>
  <LinksUpToDate>false</LinksUpToDate>
  <CharactersWithSpaces>2259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2</cp:revision>
  <cp:lastPrinted>2015-02-20T10:59:00Z</cp:lastPrinted>
  <dcterms:created xsi:type="dcterms:W3CDTF">2018-07-23T05:36:00Z</dcterms:created>
  <dcterms:modified xsi:type="dcterms:W3CDTF">2018-07-23T05:36:00Z</dcterms:modified>
</cp:coreProperties>
</file>